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89" w:rsidRDefault="00B33089">
      <w:pPr>
        <w:widowControl w:val="0"/>
        <w:autoSpaceDE w:val="0"/>
        <w:autoSpaceDN w:val="0"/>
        <w:adjustRightInd w:val="0"/>
        <w:spacing w:after="0" w:line="240" w:lineRule="auto"/>
      </w:pPr>
      <w:bookmarkStart w:id="0" w:name="_GoBack"/>
      <w:bookmarkEnd w:id="0"/>
      <w:r>
        <w:rPr>
          <w:rFonts w:ascii="Courier New" w:hAnsi="Courier New" w:cs="Courier New"/>
          <w:sz w:val="24"/>
          <w:szCs w:val="24"/>
        </w:rPr>
        <w:t>Landessozialgericht Niedersachsen-Bremen</w:t>
      </w:r>
      <w:r>
        <w:rPr>
          <w:rFonts w:ascii="Courier New" w:hAnsi="Courier New" w:cs="Courier New"/>
          <w:sz w:val="24"/>
          <w:szCs w:val="24"/>
        </w:rPr>
        <w:br/>
      </w:r>
      <w:r>
        <w:rPr>
          <w:rFonts w:ascii="Courier New" w:hAnsi="Courier New" w:cs="Courier New"/>
          <w:sz w:val="24"/>
          <w:szCs w:val="24"/>
        </w:rPr>
        <w:br/>
        <w:t>Urteil vom 21.11.2017 (nicht rechtskräftig)</w:t>
      </w:r>
      <w:r>
        <w:rPr>
          <w:rFonts w:ascii="Courier New" w:hAnsi="Courier New" w:cs="Courier New"/>
          <w:sz w:val="24"/>
          <w:szCs w:val="24"/>
        </w:rPr>
        <w:br/>
      </w:r>
      <w:r>
        <w:rPr>
          <w:rFonts w:ascii="Courier New" w:hAnsi="Courier New" w:cs="Courier New"/>
          <w:sz w:val="24"/>
          <w:szCs w:val="24"/>
        </w:rPr>
        <w:br/>
        <w:t>Sozialgericht Lüneburg S 16 KR 257/12</w:t>
      </w:r>
      <w:r>
        <w:rPr>
          <w:rFonts w:ascii="Courier New" w:hAnsi="Courier New" w:cs="Courier New"/>
          <w:sz w:val="24"/>
          <w:szCs w:val="24"/>
        </w:rPr>
        <w:br/>
        <w:t>Landessozialgericht Niedersachsen-Bremen L 16/1 KR 371/15</w:t>
      </w:r>
      <w:r>
        <w:rPr>
          <w:rFonts w:ascii="Courier New" w:hAnsi="Courier New" w:cs="Courier New"/>
          <w:sz w:val="24"/>
          <w:szCs w:val="24"/>
        </w:rPr>
        <w:br/>
        <w:t xml:space="preserve"> </w:t>
      </w:r>
      <w:r>
        <w:rPr>
          <w:rFonts w:ascii="Courier New" w:hAnsi="Courier New" w:cs="Courier New"/>
          <w:sz w:val="24"/>
          <w:szCs w:val="24"/>
        </w:rPr>
        <w:br/>
      </w:r>
      <w:r>
        <w:rPr>
          <w:rFonts w:ascii="Courier New" w:hAnsi="Courier New" w:cs="Courier New"/>
          <w:sz w:val="24"/>
          <w:szCs w:val="24"/>
        </w:rPr>
        <w:br/>
        <w:t>Die Berufung der Beklagten gegen das Urteil des Sozialgerichts Lünebur</w:t>
      </w:r>
      <w:r>
        <w:rPr>
          <w:rFonts w:ascii="Courier New" w:hAnsi="Courier New" w:cs="Courier New"/>
          <w:sz w:val="24"/>
          <w:szCs w:val="24"/>
        </w:rPr>
        <w:t>g vom 1. September 2015 wird zurückgewiesen. Die Beklagte trägt auch die notwendigen außergerichtlichen Kosten der Klägerin im Berufungsverfahren. Die Revision wird nicht zugelassen.</w:t>
      </w:r>
      <w:r>
        <w:rPr>
          <w:rFonts w:ascii="Courier New" w:hAnsi="Courier New" w:cs="Courier New"/>
          <w:sz w:val="24"/>
          <w:szCs w:val="24"/>
        </w:rPr>
        <w:br/>
      </w:r>
      <w:r>
        <w:rPr>
          <w:rFonts w:ascii="Courier New" w:hAnsi="Courier New" w:cs="Courier New"/>
          <w:sz w:val="24"/>
          <w:szCs w:val="24"/>
        </w:rPr>
        <w:br/>
        <w:t>Tatbestand:</w:t>
      </w:r>
      <w:r>
        <w:rPr>
          <w:rFonts w:ascii="Courier New" w:hAnsi="Courier New" w:cs="Courier New"/>
          <w:sz w:val="24"/>
          <w:szCs w:val="24"/>
        </w:rPr>
        <w:br/>
      </w:r>
      <w:r>
        <w:rPr>
          <w:rFonts w:ascii="Courier New" w:hAnsi="Courier New" w:cs="Courier New"/>
          <w:sz w:val="24"/>
          <w:szCs w:val="24"/>
        </w:rPr>
        <w:br/>
        <w:t>Streitig ist die Versorgung der Klägerin mit einem Blindenf</w:t>
      </w:r>
      <w:r>
        <w:rPr>
          <w:rFonts w:ascii="Courier New" w:hAnsi="Courier New" w:cs="Courier New"/>
          <w:sz w:val="24"/>
          <w:szCs w:val="24"/>
        </w:rPr>
        <w:t>ührhund.</w:t>
      </w:r>
      <w:r>
        <w:rPr>
          <w:rFonts w:ascii="Courier New" w:hAnsi="Courier New" w:cs="Courier New"/>
          <w:sz w:val="24"/>
          <w:szCs w:val="24"/>
        </w:rPr>
        <w:br/>
      </w:r>
      <w:r>
        <w:rPr>
          <w:rFonts w:ascii="Courier New" w:hAnsi="Courier New" w:cs="Courier New"/>
          <w:sz w:val="24"/>
          <w:szCs w:val="24"/>
        </w:rPr>
        <w:br/>
        <w:t>Die am 1. März 1944 geborene Klägerin leidet an einem ausgeprägtem Glaukom, einer multiplen Sklerose, chronischer Polyarthritis, Osteoporose, Harninkontinenz. Nach den gesetzlichen Vorschriften ist sie blind, ihre Sehschärfe ist massiv herabgeset</w:t>
      </w:r>
      <w:r>
        <w:rPr>
          <w:rFonts w:ascii="Courier New" w:hAnsi="Courier New" w:cs="Courier New"/>
          <w:sz w:val="24"/>
          <w:szCs w:val="24"/>
        </w:rPr>
        <w:t>zt, das Gesichtsfeld konzentrisch eingeengt. Die Klägerin ist mit einem Langstock versorgt. Im Juni 2009 erhielt sie ein 40-stündiges Mobilitätstraining mit dem Langstock und in der Zeit vom 15. März bis 10. Mai 2016 20 Unterrichtsstunden.</w:t>
      </w:r>
      <w:r>
        <w:rPr>
          <w:rFonts w:ascii="Courier New" w:hAnsi="Courier New" w:cs="Courier New"/>
          <w:sz w:val="24"/>
          <w:szCs w:val="24"/>
        </w:rPr>
        <w:br/>
      </w:r>
      <w:r>
        <w:rPr>
          <w:rFonts w:ascii="Courier New" w:hAnsi="Courier New" w:cs="Courier New"/>
          <w:sz w:val="24"/>
          <w:szCs w:val="24"/>
        </w:rPr>
        <w:br/>
        <w:t>Der Facharzt fü</w:t>
      </w:r>
      <w:r>
        <w:rPr>
          <w:rFonts w:ascii="Courier New" w:hAnsi="Courier New" w:cs="Courier New"/>
          <w:sz w:val="24"/>
          <w:szCs w:val="24"/>
        </w:rPr>
        <w:t>r Augenheilkunde J. verordnete der Klägerin am 4. November 2011 einen Blindenführhund wegen ausgeprägtem Glaukom und AMD. Die Beklagte holte ein Gutachten des Medizinischen Dienstes der Krankenversicherung (MDK) vom 13. Dezember 2011 ein und lehnte den Ant</w:t>
      </w:r>
      <w:r>
        <w:rPr>
          <w:rFonts w:ascii="Courier New" w:hAnsi="Courier New" w:cs="Courier New"/>
          <w:sz w:val="24"/>
          <w:szCs w:val="24"/>
        </w:rPr>
        <w:t xml:space="preserve">rag mit Bescheid vom 29. Dezember 2011 ab. Die Notwendigkeit der Verordnung von Hilfsmitteln ergäbe sich nicht allein aus der Diagnose. Der MDK habe bei seiner Beurteilung auch das Pflegegutachten vom 27. Mai 2009 berücksichtigt. Es sei nicht ersichtlich, </w:t>
      </w:r>
      <w:r>
        <w:rPr>
          <w:rFonts w:ascii="Courier New" w:hAnsi="Courier New" w:cs="Courier New"/>
          <w:sz w:val="24"/>
          <w:szCs w:val="24"/>
        </w:rPr>
        <w:t>welches Therapieziel durch die Verordnung eines Blindenführhundes erreicht werden solle. Es sei weiterhin nicht nachvollziehbar, dass durch den beantragten Blindenführhund ein wesentlicher Gebrauchsvorteil gegenüber der Basisversorgung erreicht werden könn</w:t>
      </w:r>
      <w:r>
        <w:rPr>
          <w:rFonts w:ascii="Courier New" w:hAnsi="Courier New" w:cs="Courier New"/>
          <w:sz w:val="24"/>
          <w:szCs w:val="24"/>
        </w:rPr>
        <w:t>e. Die Klägerin nutze außerhalb der Wohnung einen Rollator oder den Elektrorollstuhl. Ferner sei ein Orientierungs- und Mobilitätstraining über 50 Stunden absolviert worden. Es könne anhand der vorliegenden Unterlagen nicht nachvollzogen werden, in welchem</w:t>
      </w:r>
      <w:r>
        <w:rPr>
          <w:rFonts w:ascii="Courier New" w:hAnsi="Courier New" w:cs="Courier New"/>
          <w:sz w:val="24"/>
          <w:szCs w:val="24"/>
        </w:rPr>
        <w:t xml:space="preserve"> Ausmaß sie auch unter Berücksichtigung der zusätzlichen vorliegenden Erkrankungen mobil sein könnte. Aus medizinischer Sicht sei die Indikation für einen Blindenführhund nicht gegeben.</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lastRenderedPageBreak/>
        <w:t>Hiergegen legte die Klägerin mit Schreiben vom 5. Januar 2012 Widersp</w:t>
      </w:r>
      <w:r>
        <w:rPr>
          <w:rFonts w:ascii="Courier New" w:hAnsi="Courier New" w:cs="Courier New"/>
          <w:sz w:val="24"/>
          <w:szCs w:val="24"/>
        </w:rPr>
        <w:t>ruch ein. Die Klägerin sei mobil, dies habe sie im Langstocktraining hinreichend bewiesen. Sie könne zwar ohne Blindenführhund nur langsam gehen, sei aber trotz aller Einschränkungen mobil. Der Blindenführhund bedeute eine wesentliche Verbesserung des Allt</w:t>
      </w:r>
      <w:r>
        <w:rPr>
          <w:rFonts w:ascii="Courier New" w:hAnsi="Courier New" w:cs="Courier New"/>
          <w:sz w:val="24"/>
          <w:szCs w:val="24"/>
        </w:rPr>
        <w:t>ages. Zurzeit sei die Mobilität gehemmt. Sie müsse mit dem Langstock Wege ertasten, dürfe die Orientierung nie verlieren, Türen von Geschäften mühsam suchen oder an Ampeln die Ampelphase erraten. Ein Blindenführhund sei eine wesentliche Entlastung. Die sel</w:t>
      </w:r>
      <w:r>
        <w:rPr>
          <w:rFonts w:ascii="Courier New" w:hAnsi="Courier New" w:cs="Courier New"/>
          <w:sz w:val="24"/>
          <w:szCs w:val="24"/>
        </w:rPr>
        <w:t>bstständige Mobilität sei für jeden Menschen wichtig und ein wertvolles Therapieziel auch in psychischer Hinsicht.</w:t>
      </w:r>
      <w:r>
        <w:rPr>
          <w:rFonts w:ascii="Courier New" w:hAnsi="Courier New" w:cs="Courier New"/>
          <w:sz w:val="24"/>
          <w:szCs w:val="24"/>
        </w:rPr>
        <w:br/>
      </w:r>
      <w:r>
        <w:rPr>
          <w:rFonts w:ascii="Courier New" w:hAnsi="Courier New" w:cs="Courier New"/>
          <w:sz w:val="24"/>
          <w:szCs w:val="24"/>
        </w:rPr>
        <w:br/>
        <w:t>Die Beklagte holte ein weiteres Gutachten des MDK vom 7. Februar 2012 ein und wies den Widerspruch mit Widerspruchsbescheid vom 21. Juni 201</w:t>
      </w:r>
      <w:r>
        <w:rPr>
          <w:rFonts w:ascii="Courier New" w:hAnsi="Courier New" w:cs="Courier New"/>
          <w:sz w:val="24"/>
          <w:szCs w:val="24"/>
        </w:rPr>
        <w:t>2 zurück. Der MDK habe die Ausführungen im ersten Gutachten bestätigt. Eine Kostenübernahme für einen Blindenhund könne nicht erfolgen.</w:t>
      </w:r>
      <w:r>
        <w:rPr>
          <w:rFonts w:ascii="Courier New" w:hAnsi="Courier New" w:cs="Courier New"/>
          <w:sz w:val="24"/>
          <w:szCs w:val="24"/>
        </w:rPr>
        <w:br/>
      </w:r>
      <w:r>
        <w:rPr>
          <w:rFonts w:ascii="Courier New" w:hAnsi="Courier New" w:cs="Courier New"/>
          <w:sz w:val="24"/>
          <w:szCs w:val="24"/>
        </w:rPr>
        <w:br/>
        <w:t>Hiergegen hat die Klägerin am 13. Juli 2012 Klage vor dem Sozialgericht (SG) Lüneburg erhoben und ihr Begehren weiterve</w:t>
      </w:r>
      <w:r>
        <w:rPr>
          <w:rFonts w:ascii="Courier New" w:hAnsi="Courier New" w:cs="Courier New"/>
          <w:sz w:val="24"/>
          <w:szCs w:val="24"/>
        </w:rPr>
        <w:t>rfolgt. Unbestritten sei die Klägerin körperlich und auch in ihrer Gehfähigkeit beeinträchtigt. Für längere Strecken stehe ihr ein Elektrodreirad zur Verfügung, das sie wegen der Sehverschlechterung nur noch auf Feldwegen nutzen könne, da eine sichere Teil</w:t>
      </w:r>
      <w:r>
        <w:rPr>
          <w:rFonts w:ascii="Courier New" w:hAnsi="Courier New" w:cs="Courier New"/>
          <w:sz w:val="24"/>
          <w:szCs w:val="24"/>
        </w:rPr>
        <w:t>nahme am Straßenverkehr nicht mehr möglich sei. Zur eigenständigen Fortbewegung außer Haus ohne Fremdhilfe bestehe nur die Möglichkeit, sich zu Fuß auf den Weg zu machen. Die Kombination aus Gehbehinderung und Blindheit wirke sich im Falle der Klägerin bei</w:t>
      </w:r>
      <w:r>
        <w:rPr>
          <w:rFonts w:ascii="Courier New" w:hAnsi="Courier New" w:cs="Courier New"/>
          <w:sz w:val="24"/>
          <w:szCs w:val="24"/>
        </w:rPr>
        <w:t>m Zufußgehen so massiv aus, weil sie wegen der spät erfolgten Erblindung beim Gehen mit dem Blindenlangstock viel Energie und Kraft benötige, dass sie die wegen der Gehbehinderung erforderliche Anstrengung nicht noch zusätzlich aufbringen könne. Es liege e</w:t>
      </w:r>
      <w:r>
        <w:rPr>
          <w:rFonts w:ascii="Courier New" w:hAnsi="Courier New" w:cs="Courier New"/>
          <w:sz w:val="24"/>
          <w:szCs w:val="24"/>
        </w:rPr>
        <w:t>ine massive Überforderung vor. Schon für einen nur blinden Menschen sei die selbstständige Fortbewegung im Straßenverkehr unter Zuhilfenahme des Blindenlangstocks mit großen Schwierigkeiten verbunden, zumal wenn die Erblindung erst spät im Leben eintrete u</w:t>
      </w:r>
      <w:r>
        <w:rPr>
          <w:rFonts w:ascii="Courier New" w:hAnsi="Courier New" w:cs="Courier New"/>
          <w:sz w:val="24"/>
          <w:szCs w:val="24"/>
        </w:rPr>
        <w:t xml:space="preserve">nd der Betroffene in seinem Gehör und Tastvermögen nicht so sensibilisiert sei wie ein von Geburt an diese Situation gewöhnter Mensch. Beim Gehen stoße die Klägerin zwangsläufig mit dem Blindenstock an Gegenstände, müsse sich immer einen Weg darum suchen, </w:t>
      </w:r>
      <w:r>
        <w:rPr>
          <w:rFonts w:ascii="Courier New" w:hAnsi="Courier New" w:cs="Courier New"/>
          <w:sz w:val="24"/>
          <w:szCs w:val="24"/>
        </w:rPr>
        <w:t>wieder neu orientieren, den Wege wieder aufnehmen, Ampelpfosten zum Teil erst aufwendig suchen. Dies sei mit erheblichem Kraftaufwand verbunden, der für sie nicht mehr zu bewältigen sei. Ein Blindenführhund würde einen wesentlichen Gebrauchsvorteil bieten,</w:t>
      </w:r>
      <w:r>
        <w:rPr>
          <w:rFonts w:ascii="Courier New" w:hAnsi="Courier New" w:cs="Courier New"/>
          <w:sz w:val="24"/>
          <w:szCs w:val="24"/>
        </w:rPr>
        <w:t xml:space="preserve"> da sie mit diesem Hilfsmittel in der Lage wäre, wieder eigenständig und ohne Fremdhilfe das Haus zu </w:t>
      </w:r>
      <w:r>
        <w:rPr>
          <w:rFonts w:ascii="Courier New" w:hAnsi="Courier New" w:cs="Courier New"/>
          <w:sz w:val="24"/>
          <w:szCs w:val="24"/>
        </w:rPr>
        <w:lastRenderedPageBreak/>
        <w:t>verlassen, denn der Blindenführhund könne die Klägerin zielgerichtet führen, so dass lange Suchvorgänge, etwa bei Straßenüberquerungen, Auffinden von Eingä</w:t>
      </w:r>
      <w:r>
        <w:rPr>
          <w:rFonts w:ascii="Courier New" w:hAnsi="Courier New" w:cs="Courier New"/>
          <w:sz w:val="24"/>
          <w:szCs w:val="24"/>
        </w:rPr>
        <w:t>ngen, Briefkästen, Geschäften entfielen. Wegen der mangelnden Orientierungsfähigkeit würde die Klägerin das eigenständige Gehen überwiegend vermeiden, regelmäßige körperliche Bewegung sei aber in ihrer Situation besonders wichtig, um eine Stabilisierung de</w:t>
      </w:r>
      <w:r>
        <w:rPr>
          <w:rFonts w:ascii="Courier New" w:hAnsi="Courier New" w:cs="Courier New"/>
          <w:sz w:val="24"/>
          <w:szCs w:val="24"/>
        </w:rPr>
        <w:t xml:space="preserve">s gesundheitlichen Allgemeinzustandes zu sichern. Auch für körperbehinderte bzw rollstuhlpflichtige Menschen gebe es die Möglichkeit einen Führhund zu nutzen, sofern dieser entsprechend trainiert werde. Der behandelnde Arzt K. bestätige, dass die Klägerin </w:t>
      </w:r>
      <w:r>
        <w:rPr>
          <w:rFonts w:ascii="Courier New" w:hAnsi="Courier New" w:cs="Courier New"/>
          <w:sz w:val="24"/>
          <w:szCs w:val="24"/>
        </w:rPr>
        <w:t>in der Lage sei, längere Wegstrecken zurückzulegen</w:t>
      </w:r>
      <w:r>
        <w:rPr>
          <w:rFonts w:ascii="Courier New" w:hAnsi="Courier New" w:cs="Courier New"/>
          <w:sz w:val="24"/>
          <w:szCs w:val="24"/>
        </w:rPr>
        <w:br/>
      </w:r>
      <w:r>
        <w:rPr>
          <w:rFonts w:ascii="Courier New" w:hAnsi="Courier New" w:cs="Courier New"/>
          <w:sz w:val="24"/>
          <w:szCs w:val="24"/>
        </w:rPr>
        <w:br/>
        <w:t xml:space="preserve">Die Beklagte hat vorgetragen, dass nicht erkennbar sei, welche Gebrauchsvorteile gegenüber einem Langstock bestünden und welches Therapieziel erreicht werden sollte und eine Stellungnahme des MDK vom 13. </w:t>
      </w:r>
      <w:r>
        <w:rPr>
          <w:rFonts w:ascii="Courier New" w:hAnsi="Courier New" w:cs="Courier New"/>
          <w:sz w:val="24"/>
          <w:szCs w:val="24"/>
        </w:rPr>
        <w:t>Mai 2013 vorgelegt.</w:t>
      </w:r>
      <w:r>
        <w:rPr>
          <w:rFonts w:ascii="Courier New" w:hAnsi="Courier New" w:cs="Courier New"/>
          <w:sz w:val="24"/>
          <w:szCs w:val="24"/>
        </w:rPr>
        <w:br/>
      </w:r>
      <w:r>
        <w:rPr>
          <w:rFonts w:ascii="Courier New" w:hAnsi="Courier New" w:cs="Courier New"/>
          <w:sz w:val="24"/>
          <w:szCs w:val="24"/>
        </w:rPr>
        <w:br/>
        <w:t>Das SG hat Berichte des Facharztes für Allgemeinmedizin K. vom 14. Dezember 2012 und 11. Februar 2013 sowie des Facharztes für Augenheilkunde L. vom 4. März 2013 beigezogen und ein Gutachten des Facharztes für Chirurgie Dr M. vom 5. De</w:t>
      </w:r>
      <w:r>
        <w:rPr>
          <w:rFonts w:ascii="Courier New" w:hAnsi="Courier New" w:cs="Courier New"/>
          <w:sz w:val="24"/>
          <w:szCs w:val="24"/>
        </w:rPr>
        <w:t>zember 2013 eingeholt. Dieser hat nach einer Untersuchung der Klägerin in ihrer häuslichen Umgebung ausgeführt, es bestehe eine muskuläre Schwäche der rechten Körperhälfte aufgrund einer Multiplen Sklerose Erkrankung einschließlich einer Blasenfunktionsstö</w:t>
      </w:r>
      <w:r>
        <w:rPr>
          <w:rFonts w:ascii="Courier New" w:hAnsi="Courier New" w:cs="Courier New"/>
          <w:sz w:val="24"/>
          <w:szCs w:val="24"/>
        </w:rPr>
        <w:t>rung mit schnellerer Erschöpfbarkeit des Muskeltonus und der muskulären Koordinierungsfähigkeit, insbesondere des rechten Armes und der Hand beim Führen des Langstockes und die Wegefähigkeit der Klägerin auf ca 5 km eingeschätzt. Die Versorgung und Betreuu</w:t>
      </w:r>
      <w:r>
        <w:rPr>
          <w:rFonts w:ascii="Courier New" w:hAnsi="Courier New" w:cs="Courier New"/>
          <w:sz w:val="24"/>
          <w:szCs w:val="24"/>
        </w:rPr>
        <w:t>ng eines Hundes im eigenen Haushalt ohne Fremdhilfe sei möglich. Auch die Haltung des Hundes sei aufgrund der häuslichen Situation mit einer Erdgeschosswohnung und barrierefreiem Zugang möglich. Es bestehe auch Auslaufmöglichkeit für den Hund in unmittelba</w:t>
      </w:r>
      <w:r>
        <w:rPr>
          <w:rFonts w:ascii="Courier New" w:hAnsi="Courier New" w:cs="Courier New"/>
          <w:sz w:val="24"/>
          <w:szCs w:val="24"/>
        </w:rPr>
        <w:t>rer Nähe des Wohnumfeldes.</w:t>
      </w:r>
      <w:r>
        <w:rPr>
          <w:rFonts w:ascii="Courier New" w:hAnsi="Courier New" w:cs="Courier New"/>
          <w:sz w:val="24"/>
          <w:szCs w:val="24"/>
        </w:rPr>
        <w:br/>
      </w:r>
      <w:r>
        <w:rPr>
          <w:rFonts w:ascii="Courier New" w:hAnsi="Courier New" w:cs="Courier New"/>
          <w:sz w:val="24"/>
          <w:szCs w:val="24"/>
        </w:rPr>
        <w:br/>
        <w:t>Die Beklagte hat demgegenüber unter Vorlage eines Gutachtens des MDK vom 16. Januar 2014 vorgetragen, dass die Fähigkeit zur Nutzung eines Blindenführhundes nicht erkennbar sei.</w:t>
      </w:r>
      <w:r>
        <w:rPr>
          <w:rFonts w:ascii="Courier New" w:hAnsi="Courier New" w:cs="Courier New"/>
          <w:sz w:val="24"/>
          <w:szCs w:val="24"/>
        </w:rPr>
        <w:br/>
      </w:r>
      <w:r>
        <w:rPr>
          <w:rFonts w:ascii="Courier New" w:hAnsi="Courier New" w:cs="Courier New"/>
          <w:sz w:val="24"/>
          <w:szCs w:val="24"/>
        </w:rPr>
        <w:br/>
        <w:t xml:space="preserve">Nach einem Termin zur mündlichen Verhandlung vom </w:t>
      </w:r>
      <w:r>
        <w:rPr>
          <w:rFonts w:ascii="Courier New" w:hAnsi="Courier New" w:cs="Courier New"/>
          <w:sz w:val="24"/>
          <w:szCs w:val="24"/>
        </w:rPr>
        <w:t>27. Mai 2014, indem die Klägerin erklärt hat, einen neuen Schub hinsichtlich der MS-Erkrankung gehabt zu haben, hat das SG ein weiteres Gutachten von Dr M. vom 18. September 2014 nach einem Hausbesuch eingeholt, der im Vergleich zur Voruntersuchung eine Ve</w:t>
      </w:r>
      <w:r>
        <w:rPr>
          <w:rFonts w:ascii="Courier New" w:hAnsi="Courier New" w:cs="Courier New"/>
          <w:sz w:val="24"/>
          <w:szCs w:val="24"/>
        </w:rPr>
        <w:t xml:space="preserve">rbesserung des Allgemeinzustandes mit einer deutlich verbesserten Orientierungsfähigkeit festgestellt hat. Hierauf hat die Beklagte wiederum eine Stellungnahme des MDK vom 10. November 2014 sowie </w:t>
      </w:r>
      <w:r>
        <w:rPr>
          <w:rFonts w:ascii="Courier New" w:hAnsi="Courier New" w:cs="Courier New"/>
          <w:sz w:val="24"/>
          <w:szCs w:val="24"/>
        </w:rPr>
        <w:lastRenderedPageBreak/>
        <w:t>das Pflegegutachten des MDK vom 14. Mai 2014 vorgelegt.</w:t>
      </w:r>
      <w:r>
        <w:rPr>
          <w:rFonts w:ascii="Courier New" w:hAnsi="Courier New" w:cs="Courier New"/>
          <w:sz w:val="24"/>
          <w:szCs w:val="24"/>
        </w:rPr>
        <w:br/>
      </w:r>
      <w:r>
        <w:rPr>
          <w:rFonts w:ascii="Courier New" w:hAnsi="Courier New" w:cs="Courier New"/>
          <w:sz w:val="24"/>
          <w:szCs w:val="24"/>
        </w:rPr>
        <w:br/>
        <w:t>Fer</w:t>
      </w:r>
      <w:r>
        <w:rPr>
          <w:rFonts w:ascii="Courier New" w:hAnsi="Courier New" w:cs="Courier New"/>
          <w:sz w:val="24"/>
          <w:szCs w:val="24"/>
        </w:rPr>
        <w:t>ner hat das SG ein Gutachten der Dr N., Gespannprüferin für Blindenführhundgespanne, vom 16. März 2015 eingeholt, die ebenfalls einen Hausbesuch bei der Klägerin durchgeführt hat. Darauf hat die Beklagte wiederum ein Gutachten des MDK vom 1. Juni 2015 vorg</w:t>
      </w:r>
      <w:r>
        <w:rPr>
          <w:rFonts w:ascii="Courier New" w:hAnsi="Courier New" w:cs="Courier New"/>
          <w:sz w:val="24"/>
          <w:szCs w:val="24"/>
        </w:rPr>
        <w:t>elegt.</w:t>
      </w:r>
      <w:r>
        <w:rPr>
          <w:rFonts w:ascii="Courier New" w:hAnsi="Courier New" w:cs="Courier New"/>
          <w:sz w:val="24"/>
          <w:szCs w:val="24"/>
        </w:rPr>
        <w:br/>
      </w:r>
      <w:r>
        <w:rPr>
          <w:rFonts w:ascii="Courier New" w:hAnsi="Courier New" w:cs="Courier New"/>
          <w:sz w:val="24"/>
          <w:szCs w:val="24"/>
        </w:rPr>
        <w:br/>
        <w:t>Mit Urteil vom 1. September 2015 hat das SG den Bescheid der Beklagten vom 29. Dezember 2011 in Gestalt des Widerspruchsbescheides vom 21. Juni 2012 aufgehoben und die Beklagte verurteilt, die Klägerin mit einem Blindenführhund zu versorgen. Das SG</w:t>
      </w:r>
      <w:r>
        <w:rPr>
          <w:rFonts w:ascii="Courier New" w:hAnsi="Courier New" w:cs="Courier New"/>
          <w:sz w:val="24"/>
          <w:szCs w:val="24"/>
        </w:rPr>
        <w:t xml:space="preserve"> hat zur Begründung ausgeführt, dass die Voraussetzungen der §§ 27 Abs 1 Satz 1, 33 Abs 1 Satz 1, 12 Abs 1 Satz 1 Sozialgesetzbuch Fünftes Buch (SGB V) erfüllt seien. Die Klägerin sei blind, sie leide an einem fortgeschrittenen Glaukom und AMD. Sie habe ei</w:t>
      </w:r>
      <w:r>
        <w:rPr>
          <w:rFonts w:ascii="Courier New" w:hAnsi="Courier New" w:cs="Courier New"/>
          <w:sz w:val="24"/>
          <w:szCs w:val="24"/>
        </w:rPr>
        <w:t xml:space="preserve">n geringes Restsehvermögen, dies ermögliche ihr aber nicht, sich ohne Hilfsmittel fortzubewegen. Um diese Behinderung auszugleichen, habe die Klägerin Anspruch auf die Versorgung mit dem Hilfsmittel Blindenführhund. Dieses sei erforderlich, zweckmäßig und </w:t>
      </w:r>
      <w:r>
        <w:rPr>
          <w:rFonts w:ascii="Courier New" w:hAnsi="Courier New" w:cs="Courier New"/>
          <w:sz w:val="24"/>
          <w:szCs w:val="24"/>
        </w:rPr>
        <w:t>wirtschaftlich und übersteige das Maß des Notwendigen nicht. Ein Blindenführhund sei ein Hilfsmittel im Sinne des §§ 33 Abs 1 Satz 1 SGB V, er sei weder nach § 34 Abs 4 SGB V ausgeschlossen, noch ein allgemeiner Gebrauchsgegenstand des täglichen Lebens. Er</w:t>
      </w:r>
      <w:r>
        <w:rPr>
          <w:rFonts w:ascii="Courier New" w:hAnsi="Courier New" w:cs="Courier New"/>
          <w:sz w:val="24"/>
          <w:szCs w:val="24"/>
        </w:rPr>
        <w:t xml:space="preserve"> diene dem unmittelbaren Ausgleich der Behinderung. Funktionell gleichwertige, aber billigere Hilfsmittel stünden vorliegend nicht zur Wahl. Das SG stütze sich insbesondere auf die Gutachten des Sachverständigen Dr M. vom 5. Dezember 2013 und 18. September</w:t>
      </w:r>
      <w:r>
        <w:rPr>
          <w:rFonts w:ascii="Courier New" w:hAnsi="Courier New" w:cs="Courier New"/>
          <w:sz w:val="24"/>
          <w:szCs w:val="24"/>
        </w:rPr>
        <w:t xml:space="preserve"> 2014, der in überzeugender Weise ausgeführt habe, dass der vorhandene Langstock nicht mehr in ausreichender Weise benutzt werden könne. Aufgrund der gesundheitlichen Situation im Rückenbereich sei sie auf einen Stützstock bzw auf einen Rollator angewiesen</w:t>
      </w:r>
      <w:r>
        <w:rPr>
          <w:rFonts w:ascii="Courier New" w:hAnsi="Courier New" w:cs="Courier New"/>
          <w:sz w:val="24"/>
          <w:szCs w:val="24"/>
        </w:rPr>
        <w:t>. Zudem habe Dr M. sogar eine Verbesserung des Gesamtzustandes nach dem letzten MS-Schub beschrieben. Eine Einschränkung bezüglich der Funktion mit der Knieprothese rechts bzw insgesamt der unteren Extremitäten habe nicht festgestellt werden können. Auf di</w:t>
      </w:r>
      <w:r>
        <w:rPr>
          <w:rFonts w:ascii="Courier New" w:hAnsi="Courier New" w:cs="Courier New"/>
          <w:sz w:val="24"/>
          <w:szCs w:val="24"/>
        </w:rPr>
        <w:t>e Einwendungen des MDK vom 16. Januar 2014, dass es aufgrund der schwerwiegenden Grunderkrankung mit der muskulären Schwäche und der dadurch bedingten Einschränkung der Mobilität nicht vorstellbar sei, dass die Klägerin mit der rechten Hand am Gehstock und</w:t>
      </w:r>
      <w:r>
        <w:rPr>
          <w:rFonts w:ascii="Courier New" w:hAnsi="Courier New" w:cs="Courier New"/>
          <w:sz w:val="24"/>
          <w:szCs w:val="24"/>
        </w:rPr>
        <w:t xml:space="preserve"> der linken Hand am Führungsgeschirr des Blindenführhundes weite Strecken zurücklegen könne, habe die Kammer ein Gutachten der Gespannprüferin für Blindenführhundgespanne Dr N. eingeholt. Diese habe überzeugend dargelegt, dass ein Blindenführhund bei den v</w:t>
      </w:r>
      <w:r>
        <w:rPr>
          <w:rFonts w:ascii="Courier New" w:hAnsi="Courier New" w:cs="Courier New"/>
          <w:sz w:val="24"/>
          <w:szCs w:val="24"/>
        </w:rPr>
        <w:t xml:space="preserve">orhandenen Gesundheitsstörungen sinnvoll und gewinnbringend eingesetzt werden könne. Sowohl Dr M. als auch die Sachverständige Dr N. </w:t>
      </w:r>
      <w:r>
        <w:rPr>
          <w:rFonts w:ascii="Courier New" w:hAnsi="Courier New" w:cs="Courier New"/>
          <w:sz w:val="24"/>
          <w:szCs w:val="24"/>
        </w:rPr>
        <w:lastRenderedPageBreak/>
        <w:t>seien zu dem Ergebnis gekommen, dass die Klägerin bei dem bestehenden Gesundheitszustand bei Benutzung eines Rollators sowo</w:t>
      </w:r>
      <w:r>
        <w:rPr>
          <w:rFonts w:ascii="Courier New" w:hAnsi="Courier New" w:cs="Courier New"/>
          <w:sz w:val="24"/>
          <w:szCs w:val="24"/>
        </w:rPr>
        <w:t>hl einen Blindenführhund führen könne und sie darüber hinaus erhebliche Vorteile habe, die ihr ein unabhängiges aus dem Haus gehen ermöglichten. Unter Berücksichtigung des für unmittelbare Behinderungsausgleiche geltenden Gebots eines möglichst weitgehende</w:t>
      </w:r>
      <w:r>
        <w:rPr>
          <w:rFonts w:ascii="Courier New" w:hAnsi="Courier New" w:cs="Courier New"/>
          <w:sz w:val="24"/>
          <w:szCs w:val="24"/>
        </w:rPr>
        <w:t>n Ausgleichs des Funktionsdefizits sei der Klage deshalb stattzugeben.</w:t>
      </w:r>
      <w:r>
        <w:rPr>
          <w:rFonts w:ascii="Courier New" w:hAnsi="Courier New" w:cs="Courier New"/>
          <w:sz w:val="24"/>
          <w:szCs w:val="24"/>
        </w:rPr>
        <w:br/>
      </w:r>
      <w:r>
        <w:rPr>
          <w:rFonts w:ascii="Courier New" w:hAnsi="Courier New" w:cs="Courier New"/>
          <w:sz w:val="24"/>
          <w:szCs w:val="24"/>
        </w:rPr>
        <w:br/>
        <w:t>Gegen das am 8. September 2015 zugestellte Urteil hat die Beklagte am 2. Oktober 2015 Berufung zum Landessozialgericht (LSG) Niedersachsen-Bremen erhoben und das Pflegegutachten vom 29</w:t>
      </w:r>
      <w:r>
        <w:rPr>
          <w:rFonts w:ascii="Courier New" w:hAnsi="Courier New" w:cs="Courier New"/>
          <w:sz w:val="24"/>
          <w:szCs w:val="24"/>
        </w:rPr>
        <w:t>. August 2015 vorgelegt. Der Anspruch aus § 33 SGB V sei durch das Wirtschaftlichkeitsgebot des § 12 Abs 1 Satz 1 SGB V begrenzt. Demzufolge verpflichte auch § 33 Abs 1 Satz 1 SGB V nicht dazu, den Versicherten jede gewünschte, von ihnen für optimal gehalt</w:t>
      </w:r>
      <w:r>
        <w:rPr>
          <w:rFonts w:ascii="Courier New" w:hAnsi="Courier New" w:cs="Courier New"/>
          <w:sz w:val="24"/>
          <w:szCs w:val="24"/>
        </w:rPr>
        <w:t>ene Versorgung zur Verfügung zu stellen. Ausgeschlossen seien danach Ansprüche auf teure Hilfsmittel, wenn eine kostengünstigere Versorgung für den angestrebten Nachteilsausgleich funktionell ebenfalls geeignet sei. Dies gelte auch für den unmittelbaren Be</w:t>
      </w:r>
      <w:r>
        <w:rPr>
          <w:rFonts w:ascii="Courier New" w:hAnsi="Courier New" w:cs="Courier New"/>
          <w:sz w:val="24"/>
          <w:szCs w:val="24"/>
        </w:rPr>
        <w:t>hinderungsausgleich, insbesondere durch Prothesen. Bei der in die Pflegestufe II eingestuften Klägerin sei der Blindenführhund nicht zweckmäßig. Auffallend sei insbesondere die Diskrepanz zwischen den Angaben in dem vom MDK erstellten Gutachten im Rahmen d</w:t>
      </w:r>
      <w:r>
        <w:rPr>
          <w:rFonts w:ascii="Courier New" w:hAnsi="Courier New" w:cs="Courier New"/>
          <w:sz w:val="24"/>
          <w:szCs w:val="24"/>
        </w:rPr>
        <w:t>er Pflegebegutachtung. Während Dr M. eine Verbesserung des Gesundheitszustandes konstatiere, habe der MDK am 14. Mai 2014 eine Verschlechterung festgestellt. Ein sicherer Gang am Rollator sei nur gewährleistet, wenn der Rollator mit beiden Händen geführt w</w:t>
      </w:r>
      <w:r>
        <w:rPr>
          <w:rFonts w:ascii="Courier New" w:hAnsi="Courier New" w:cs="Courier New"/>
          <w:sz w:val="24"/>
          <w:szCs w:val="24"/>
        </w:rPr>
        <w:t>erde. Ein Führhund könne nur im Gespann eingesetzt werden, dabei müsse eine Hand den Haltebügel des Führgeschirrs umfassen, der permanente Kontakt zum Führhund sei bei der Führarbeit unabdingbar. Es sei daher nicht nachvollziehbar, wie die Klägerin beim Ge</w:t>
      </w:r>
      <w:r>
        <w:rPr>
          <w:rFonts w:ascii="Courier New" w:hAnsi="Courier New" w:cs="Courier New"/>
          <w:sz w:val="24"/>
          <w:szCs w:val="24"/>
        </w:rPr>
        <w:t>hen mit dem Rollator gleichzeitig den Führhund halten und sich mit seiner Hilfe fortbewegen wolle. Zudem benötige die Klägerin außerhalb der Wohnung zur Orientierung verbale Anweisung. Nach dem Gutachten zur Feststellung der Pflegebedürftigkeit sei eine Or</w:t>
      </w:r>
      <w:r>
        <w:rPr>
          <w:rFonts w:ascii="Courier New" w:hAnsi="Courier New" w:cs="Courier New"/>
          <w:sz w:val="24"/>
          <w:szCs w:val="24"/>
        </w:rPr>
        <w:t>ientierung außerhalb der Wohnung gar nicht mehr vorhanden. Die Klägerin sei aufgrund der schwerwiegenden weiteren Erkrankung neben der Blindheit nicht in der Lage, einen Blindenführhund adäquat zu führen. Es fehle die Feinmotorik, um neben dem Gehen am Rol</w:t>
      </w:r>
      <w:r>
        <w:rPr>
          <w:rFonts w:ascii="Courier New" w:hAnsi="Courier New" w:cs="Courier New"/>
          <w:sz w:val="24"/>
          <w:szCs w:val="24"/>
        </w:rPr>
        <w:t>lator ein Führgeschirr sicher halten zu können. Zudem sei sie nicht in der Lage, einen Hund adäquat zu versorgen. Dies könne nicht auf Pflegekräfte übertragen werden. Für die Versorgung eines Blindenhundes sei eine gute Grundmobilität und Kondition unerläs</w:t>
      </w:r>
      <w:r>
        <w:rPr>
          <w:rFonts w:ascii="Courier New" w:hAnsi="Courier New" w:cs="Courier New"/>
          <w:sz w:val="24"/>
          <w:szCs w:val="24"/>
        </w:rPr>
        <w:t>slich. Dies sei bei der Klägerin nachweislich nicht gegeben. Die Gehbehinderung sei erheblich und ein Rollator fast immer erforderlich.</w:t>
      </w:r>
      <w:r>
        <w:rPr>
          <w:rFonts w:ascii="Courier New" w:hAnsi="Courier New" w:cs="Courier New"/>
          <w:sz w:val="24"/>
          <w:szCs w:val="24"/>
        </w:rPr>
        <w:br/>
      </w:r>
      <w:r>
        <w:rPr>
          <w:rFonts w:ascii="Courier New" w:hAnsi="Courier New" w:cs="Courier New"/>
          <w:sz w:val="24"/>
          <w:szCs w:val="24"/>
        </w:rPr>
        <w:lastRenderedPageBreak/>
        <w:br/>
        <w:t>Die Beklagte beantragt,</w:t>
      </w:r>
      <w:r>
        <w:rPr>
          <w:rFonts w:ascii="Courier New" w:hAnsi="Courier New" w:cs="Courier New"/>
          <w:sz w:val="24"/>
          <w:szCs w:val="24"/>
        </w:rPr>
        <w:br/>
      </w:r>
      <w:r>
        <w:rPr>
          <w:rFonts w:ascii="Courier New" w:hAnsi="Courier New" w:cs="Courier New"/>
          <w:sz w:val="24"/>
          <w:szCs w:val="24"/>
        </w:rPr>
        <w:br/>
        <w:t>das Urteil des Sozialgerichts Lüneburg vom 1. September 2015 aufzuheben und die Klage abzuweis</w:t>
      </w:r>
      <w:r>
        <w:rPr>
          <w:rFonts w:ascii="Courier New" w:hAnsi="Courier New" w:cs="Courier New"/>
          <w:sz w:val="24"/>
          <w:szCs w:val="24"/>
        </w:rPr>
        <w:t>en.</w:t>
      </w:r>
      <w:r>
        <w:rPr>
          <w:rFonts w:ascii="Courier New" w:hAnsi="Courier New" w:cs="Courier New"/>
          <w:sz w:val="24"/>
          <w:szCs w:val="24"/>
        </w:rPr>
        <w:br/>
      </w:r>
      <w:r>
        <w:rPr>
          <w:rFonts w:ascii="Courier New" w:hAnsi="Courier New" w:cs="Courier New"/>
          <w:sz w:val="24"/>
          <w:szCs w:val="24"/>
        </w:rPr>
        <w:br/>
        <w:t>Die Klägerin beantragt,</w:t>
      </w:r>
      <w:r>
        <w:rPr>
          <w:rFonts w:ascii="Courier New" w:hAnsi="Courier New" w:cs="Courier New"/>
          <w:sz w:val="24"/>
          <w:szCs w:val="24"/>
        </w:rPr>
        <w:br/>
      </w:r>
      <w:r>
        <w:rPr>
          <w:rFonts w:ascii="Courier New" w:hAnsi="Courier New" w:cs="Courier New"/>
          <w:sz w:val="24"/>
          <w:szCs w:val="24"/>
        </w:rPr>
        <w:br/>
        <w:t>die Berufung zurückzuweisen.</w:t>
      </w:r>
      <w:r>
        <w:rPr>
          <w:rFonts w:ascii="Courier New" w:hAnsi="Courier New" w:cs="Courier New"/>
          <w:sz w:val="24"/>
          <w:szCs w:val="24"/>
        </w:rPr>
        <w:br/>
      </w:r>
      <w:r>
        <w:rPr>
          <w:rFonts w:ascii="Courier New" w:hAnsi="Courier New" w:cs="Courier New"/>
          <w:sz w:val="24"/>
          <w:szCs w:val="24"/>
        </w:rPr>
        <w:br/>
        <w:t>Sie hält das angefochtene Urteil für zutreffend. Nach dem vom SG eingeholten Gutachten sei die Klägerin grundsätzlich in der Lage, einen Blindenführhund zu halten und diesen als Hilfsmittel einzus</w:t>
      </w:r>
      <w:r>
        <w:rPr>
          <w:rFonts w:ascii="Courier New" w:hAnsi="Courier New" w:cs="Courier New"/>
          <w:sz w:val="24"/>
          <w:szCs w:val="24"/>
        </w:rPr>
        <w:t>etzen. Die Mobilität der Klägerin habe sich seit dem Gutachten vom 14. Mai 2014 verbessert. Dies habe auch Dr M. in seinem Gutachten vom 18. September 2014 festgestellt. Ein Hausbesuch oder eine Vorstellung der Klägerin durch den MDK sei nicht erfolgt. Dem</w:t>
      </w:r>
      <w:r>
        <w:rPr>
          <w:rFonts w:ascii="Courier New" w:hAnsi="Courier New" w:cs="Courier New"/>
          <w:sz w:val="24"/>
          <w:szCs w:val="24"/>
        </w:rPr>
        <w:t>gegenüber sei Dr N. auf die individuellen Probleme der Klägerin eingegangen. Der Bedarf an Orientierungshilfe begründe die Versorgung mit dem Blindenführhund. Aus dem Abschlussbericht zum durchgeführten Orientierungs- und Mobilitätstraining ergebe sich, da</w:t>
      </w:r>
      <w:r>
        <w:rPr>
          <w:rFonts w:ascii="Courier New" w:hAnsi="Courier New" w:cs="Courier New"/>
          <w:sz w:val="24"/>
          <w:szCs w:val="24"/>
        </w:rPr>
        <w:t>ss nachweislich längere Wegstrecken zurückgelegt werden könnten. Weiterhin sei der Klägerin eine gute Orientierungsfähigkeit attestiert worden. Der Mehrbedarf an Platz bei der Benutzung eines Rollators halte sich in Grenzen. Ein Gespann aus einer blinden P</w:t>
      </w:r>
      <w:r>
        <w:rPr>
          <w:rFonts w:ascii="Courier New" w:hAnsi="Courier New" w:cs="Courier New"/>
          <w:sz w:val="24"/>
          <w:szCs w:val="24"/>
        </w:rPr>
        <w:t>erson am Rollator benötige nicht wesentlich mehr Platz, als wenn die blinde Person nicht am Rollator laufe. Die Beklagte habe selbst festgestellt, dass eine alleinige Versorgung mit einem Blindenlangstock nicht ausreichend sei, um Grundbedürfnisse des tägl</w:t>
      </w:r>
      <w:r>
        <w:rPr>
          <w:rFonts w:ascii="Courier New" w:hAnsi="Courier New" w:cs="Courier New"/>
          <w:sz w:val="24"/>
          <w:szCs w:val="24"/>
        </w:rPr>
        <w:t>ichen Lebens erledigen zu können.</w:t>
      </w:r>
      <w:r>
        <w:rPr>
          <w:rFonts w:ascii="Courier New" w:hAnsi="Courier New" w:cs="Courier New"/>
          <w:sz w:val="24"/>
          <w:szCs w:val="24"/>
        </w:rPr>
        <w:br/>
      </w:r>
      <w:r>
        <w:rPr>
          <w:rFonts w:ascii="Courier New" w:hAnsi="Courier New" w:cs="Courier New"/>
          <w:sz w:val="24"/>
          <w:szCs w:val="24"/>
        </w:rPr>
        <w:br/>
        <w:t>Der Senat hat zur weiteren Aufklärung des medizinischen Sachverhaltes ein Gutachten des Facharztes für Chirurgie, Unfallchirurgie Dr O. vom 4. August 2017 eingeholt. Dr O., der die Klägerin zu Hause aufgesucht hat, ist zu</w:t>
      </w:r>
      <w:r>
        <w:rPr>
          <w:rFonts w:ascii="Courier New" w:hAnsi="Courier New" w:cs="Courier New"/>
          <w:sz w:val="24"/>
          <w:szCs w:val="24"/>
        </w:rPr>
        <w:t xml:space="preserve"> dem Ergebnis gekommen, dass die Klägerin trotz der bei ihr vorliegenden Gesundheitsstörungen auf orthopädisch/chirurgischen Gebiet geeignet ist, einen Blindenführhund zu halten. Sie besitze eine gute Grundmobilität, Kondition und Orientierungsfähigkeit. S</w:t>
      </w:r>
      <w:r>
        <w:rPr>
          <w:rFonts w:ascii="Courier New" w:hAnsi="Courier New" w:cs="Courier New"/>
          <w:sz w:val="24"/>
          <w:szCs w:val="24"/>
        </w:rPr>
        <w:t>ie könne die sich aus dem Gutachten von Dr N. ergebenden Gebrauchsvorteile eines Blindenhundes nutzen und diesen versorgen.</w:t>
      </w:r>
      <w:r>
        <w:rPr>
          <w:rFonts w:ascii="Courier New" w:hAnsi="Courier New" w:cs="Courier New"/>
          <w:sz w:val="24"/>
          <w:szCs w:val="24"/>
        </w:rPr>
        <w:br/>
      </w:r>
      <w:r>
        <w:rPr>
          <w:rFonts w:ascii="Courier New" w:hAnsi="Courier New" w:cs="Courier New"/>
          <w:sz w:val="24"/>
          <w:szCs w:val="24"/>
        </w:rPr>
        <w:br/>
        <w:t>Nachdem das Gutachten der Beklagten vorlag, hat diese am 26. Oktober 2017 bei der Hundeschule in Rostock angerufen, auf die sich di</w:t>
      </w:r>
      <w:r>
        <w:rPr>
          <w:rFonts w:ascii="Courier New" w:hAnsi="Courier New" w:cs="Courier New"/>
          <w:sz w:val="24"/>
          <w:szCs w:val="24"/>
        </w:rPr>
        <w:t>e Klägerin in ihrem Antrag berufen hat (siehe Telefonvermerk der Beklagten vom 26. Oktober 2017).</w:t>
      </w:r>
      <w:r>
        <w:rPr>
          <w:rFonts w:ascii="Courier New" w:hAnsi="Courier New" w:cs="Courier New"/>
          <w:sz w:val="24"/>
          <w:szCs w:val="24"/>
        </w:rPr>
        <w:br/>
      </w:r>
      <w:r>
        <w:rPr>
          <w:rFonts w:ascii="Courier New" w:hAnsi="Courier New" w:cs="Courier New"/>
          <w:sz w:val="24"/>
          <w:szCs w:val="24"/>
        </w:rPr>
        <w:br/>
        <w:t>Wegen des Ergebnisses der Beweisaufnahme wird auf das Gutachten von Dr O. Bezug genommen.</w:t>
      </w:r>
      <w:r>
        <w:rPr>
          <w:rFonts w:ascii="Courier New" w:hAnsi="Courier New" w:cs="Courier New"/>
          <w:sz w:val="24"/>
          <w:szCs w:val="24"/>
        </w:rPr>
        <w:br/>
      </w:r>
      <w:r>
        <w:rPr>
          <w:rFonts w:ascii="Courier New" w:hAnsi="Courier New" w:cs="Courier New"/>
          <w:sz w:val="24"/>
          <w:szCs w:val="24"/>
        </w:rPr>
        <w:br/>
        <w:t>Wegen der weiteren Einzelheiten des Sachverhalts und des Vorbringe</w:t>
      </w:r>
      <w:r>
        <w:rPr>
          <w:rFonts w:ascii="Courier New" w:hAnsi="Courier New" w:cs="Courier New"/>
          <w:sz w:val="24"/>
          <w:szCs w:val="24"/>
        </w:rPr>
        <w:t>ns der Beteiligten wird auf den Inhalt der Verwaltungsakte der Beklagten und der Gerichtsakte Bezug genommen. Diese haben vorgelegen und sind Gegenstand der mündlichen Verhandlung und Entscheidungsfindung geworden.</w:t>
      </w:r>
      <w:r>
        <w:rPr>
          <w:rFonts w:ascii="Courier New" w:hAnsi="Courier New" w:cs="Courier New"/>
          <w:sz w:val="24"/>
          <w:szCs w:val="24"/>
        </w:rPr>
        <w:br/>
      </w:r>
      <w:r>
        <w:rPr>
          <w:rFonts w:ascii="Courier New" w:hAnsi="Courier New" w:cs="Courier New"/>
          <w:sz w:val="24"/>
          <w:szCs w:val="24"/>
        </w:rPr>
        <w:br/>
        <w:t>Entscheidungsgründe:</w:t>
      </w:r>
      <w:r>
        <w:rPr>
          <w:rFonts w:ascii="Courier New" w:hAnsi="Courier New" w:cs="Courier New"/>
          <w:sz w:val="24"/>
          <w:szCs w:val="24"/>
        </w:rPr>
        <w:br/>
      </w:r>
      <w:r>
        <w:rPr>
          <w:rFonts w:ascii="Courier New" w:hAnsi="Courier New" w:cs="Courier New"/>
          <w:sz w:val="24"/>
          <w:szCs w:val="24"/>
        </w:rPr>
        <w:br/>
        <w:t>Die gemäß §§ 143 f</w:t>
      </w:r>
      <w:r>
        <w:rPr>
          <w:rFonts w:ascii="Courier New" w:hAnsi="Courier New" w:cs="Courier New"/>
          <w:sz w:val="24"/>
          <w:szCs w:val="24"/>
        </w:rPr>
        <w:t xml:space="preserve"> Sozialgerichtsgesetz (SGG) form- und fristgerecht erhobene Berufung der Beklagten ist zulässig, aber nicht begründet. Das SG hat zutreffend entschieden, dass die Klägerin Anspruch auf die Versorgung mit einem Blindenführhund durch die Beklagte hat.</w:t>
      </w:r>
      <w:r>
        <w:rPr>
          <w:rFonts w:ascii="Courier New" w:hAnsi="Courier New" w:cs="Courier New"/>
          <w:sz w:val="24"/>
          <w:szCs w:val="24"/>
        </w:rPr>
        <w:br/>
      </w:r>
      <w:r>
        <w:rPr>
          <w:rFonts w:ascii="Courier New" w:hAnsi="Courier New" w:cs="Courier New"/>
          <w:sz w:val="24"/>
          <w:szCs w:val="24"/>
        </w:rPr>
        <w:br/>
        <w:t>Die K</w:t>
      </w:r>
      <w:r>
        <w:rPr>
          <w:rFonts w:ascii="Courier New" w:hAnsi="Courier New" w:cs="Courier New"/>
          <w:sz w:val="24"/>
          <w:szCs w:val="24"/>
        </w:rPr>
        <w:t>lage ist als Anfechtungs- und Leistungsklage gemäß § 54 Abs 1 Satz 1, Abs 4 SGG zulässig. Sie ist auch begründet.</w:t>
      </w:r>
      <w:r>
        <w:rPr>
          <w:rFonts w:ascii="Courier New" w:hAnsi="Courier New" w:cs="Courier New"/>
          <w:sz w:val="24"/>
          <w:szCs w:val="24"/>
        </w:rPr>
        <w:br/>
      </w:r>
      <w:r>
        <w:rPr>
          <w:rFonts w:ascii="Courier New" w:hAnsi="Courier New" w:cs="Courier New"/>
          <w:sz w:val="24"/>
          <w:szCs w:val="24"/>
        </w:rPr>
        <w:br/>
        <w:t>Der geltend gemachte Anspruch der Klägerin richtet sich nach § 27 Abs 1 Satz 1 SGB V. Danach haben Versicherte Anspruch auf Krankenbehandlung</w:t>
      </w:r>
      <w:r>
        <w:rPr>
          <w:rFonts w:ascii="Courier New" w:hAnsi="Courier New" w:cs="Courier New"/>
          <w:sz w:val="24"/>
          <w:szCs w:val="24"/>
        </w:rPr>
        <w:t>, wenn sie notwendig ist, um eine Krankheit zu erkennen, zu heilen, ihre Verschlimmerung zu verhüten oder Krankheitsbeschwerden zu lindern. Die Krankenbehandlung umfasst gemäß § 27 Abs 1 Satz 2 Nr 3 SGB V die Versorgung mit Hilfsmitteln. Gemäß § 33 Abs 1 S</w:t>
      </w:r>
      <w:r>
        <w:rPr>
          <w:rFonts w:ascii="Courier New" w:hAnsi="Courier New" w:cs="Courier New"/>
          <w:sz w:val="24"/>
          <w:szCs w:val="24"/>
        </w:rPr>
        <w:t>atz 1 SGB V haben Versicherte Anspruch auf Versorgung mit Hilfsmitteln, die im Einzelfall erforderlich sind, um den Erfolg der Krankenbehandlung zu sichern, einer drohenden Behinderung vorzubeugen oder eine Behinderung auszugleichen, soweit die Hilfsmittel</w:t>
      </w:r>
      <w:r>
        <w:rPr>
          <w:rFonts w:ascii="Courier New" w:hAnsi="Courier New" w:cs="Courier New"/>
          <w:sz w:val="24"/>
          <w:szCs w:val="24"/>
        </w:rPr>
        <w:t xml:space="preserve"> nicht als allgemeine Gebrauchsgegenstände des täglichen Lebens anzusehen oder nach § 34 Abs 4 SGB V ausgeschlossen sind. Der Anspruch umfasst gemäß § 33 Abs 1 Satz 4 SGB V auch die notwendige Änderung, Instandsetzung und Ersatzbeschaffung von Hilfsmitteln</w:t>
      </w:r>
      <w:r>
        <w:rPr>
          <w:rFonts w:ascii="Courier New" w:hAnsi="Courier New" w:cs="Courier New"/>
          <w:sz w:val="24"/>
          <w:szCs w:val="24"/>
        </w:rPr>
        <w:t xml:space="preserve"> sowie die Ausbildung in ihrem Gebrauch. Gemäß § 12 Abs 1 Satz 1 SGB V müssen Hilfsmittel ausreichend, zweckmäßig und wirtschaftlich sein und dürfen das Maß des Notwendigen bzw Erforderlichen nicht überschreiten. Leistungen, die nicht notwendig oder unwirt</w:t>
      </w:r>
      <w:r>
        <w:rPr>
          <w:rFonts w:ascii="Courier New" w:hAnsi="Courier New" w:cs="Courier New"/>
          <w:sz w:val="24"/>
          <w:szCs w:val="24"/>
        </w:rPr>
        <w:t>schaftlich sind, können Versicherte gemäß § 12 Abs 1 Satz 2 SGB V nicht beanspruchen.</w:t>
      </w:r>
      <w:r>
        <w:rPr>
          <w:rFonts w:ascii="Courier New" w:hAnsi="Courier New" w:cs="Courier New"/>
          <w:sz w:val="24"/>
          <w:szCs w:val="24"/>
        </w:rPr>
        <w:br/>
      </w:r>
      <w:r>
        <w:rPr>
          <w:rFonts w:ascii="Courier New" w:hAnsi="Courier New" w:cs="Courier New"/>
          <w:sz w:val="24"/>
          <w:szCs w:val="24"/>
        </w:rPr>
        <w:br/>
        <w:t>Der Blindenführhund ist ein Hilfsmittel im Sinne des § 33 Abs 1 Satz 1 SGB V (BSG, Urteil vom 25. Februar 1981- 5a/5 RKn 35/78, BSGE 51, 206; vgl Hilfsmittelkatalog Prod</w:t>
      </w:r>
      <w:r>
        <w:rPr>
          <w:rFonts w:ascii="Courier New" w:hAnsi="Courier New" w:cs="Courier New"/>
          <w:sz w:val="24"/>
          <w:szCs w:val="24"/>
        </w:rPr>
        <w:t xml:space="preserve">uktnummer 99.99.01.0001). Der Blindenführhund ist weder nach § 34 Abs 4 SGB V ausgeschlossen noch ein allgemeiner Gebrauchsgegenstand des täglichen Lebens, der üblicherweise von einer großen Zahl von nichtbehinderten Menschen regelmäßig benutzt wird (dazu </w:t>
      </w:r>
      <w:r>
        <w:rPr>
          <w:rFonts w:ascii="Courier New" w:hAnsi="Courier New" w:cs="Courier New"/>
          <w:sz w:val="24"/>
          <w:szCs w:val="24"/>
        </w:rPr>
        <w:t>BSG, Urteil vom 03. November 1993 - 1 RK 42/92, SozR 3-2500 § 33 Nr 5 mwN; BSG, Urteil vom 16. April 1998 - B 3 KR 9/97 R, SozR 3-2500 § 33 Nr 27 mwN).</w:t>
      </w:r>
      <w:r>
        <w:rPr>
          <w:rFonts w:ascii="Courier New" w:hAnsi="Courier New" w:cs="Courier New"/>
          <w:sz w:val="24"/>
          <w:szCs w:val="24"/>
        </w:rPr>
        <w:br/>
      </w:r>
      <w:r>
        <w:rPr>
          <w:rFonts w:ascii="Courier New" w:hAnsi="Courier New" w:cs="Courier New"/>
          <w:sz w:val="24"/>
          <w:szCs w:val="24"/>
        </w:rPr>
        <w:br/>
        <w:t>Der Behinderungsausgleich des § 33 Abs 1 Satz 1 SGB V hat grundsätzlich zwei Zielrichtungen. Im Vorderg</w:t>
      </w:r>
      <w:r>
        <w:rPr>
          <w:rFonts w:ascii="Courier New" w:hAnsi="Courier New" w:cs="Courier New"/>
          <w:sz w:val="24"/>
          <w:szCs w:val="24"/>
        </w:rPr>
        <w:t>rund steht der Ausgleich der ausgefallenen oder beeinträchtigten Körperfunktion selbst. Daneben können Hilfsmittel den Zweck haben, die direkten und indirekten Folgen der Behinderung auszugleichen.</w:t>
      </w:r>
      <w:r>
        <w:rPr>
          <w:rFonts w:ascii="Courier New" w:hAnsi="Courier New" w:cs="Courier New"/>
          <w:sz w:val="24"/>
          <w:szCs w:val="24"/>
        </w:rPr>
        <w:br/>
      </w:r>
      <w:r>
        <w:rPr>
          <w:rFonts w:ascii="Courier New" w:hAnsi="Courier New" w:cs="Courier New"/>
          <w:sz w:val="24"/>
          <w:szCs w:val="24"/>
        </w:rPr>
        <w:br/>
        <w:t>Ein unmittelbarer Funktionsausgleich liegt nach der Recht</w:t>
      </w:r>
      <w:r>
        <w:rPr>
          <w:rFonts w:ascii="Courier New" w:hAnsi="Courier New" w:cs="Courier New"/>
          <w:sz w:val="24"/>
          <w:szCs w:val="24"/>
        </w:rPr>
        <w:t>sprechung des Bundessozialgerichts (BSG) vor, soweit das Hilfsmittel die ausgefallene oder beeinträchtigte Körperfunktion ausgleicht, indem es die entsprechende Körperfunktion ermöglicht oder sie weitestgehend ersetzt (BSG, Urteil vom 17. Dezember 2009 - B</w:t>
      </w:r>
      <w:r>
        <w:rPr>
          <w:rFonts w:ascii="Courier New" w:hAnsi="Courier New" w:cs="Courier New"/>
          <w:sz w:val="24"/>
          <w:szCs w:val="24"/>
        </w:rPr>
        <w:t xml:space="preserve"> 3 KR 20/08 R - BSGE 105, 170 = SozR 4-2500 § 36 Nr. 2.). Hierbei ist der aktuelle Stand der Medizin und der Medizintechnik maßgebend. Kosten-Nutzen-Erwägungen sind im Bereich des unmittelbaren Behinderungsausgleichs grundsätzlich nicht anzustellen. Die Wi</w:t>
      </w:r>
      <w:r>
        <w:rPr>
          <w:rFonts w:ascii="Courier New" w:hAnsi="Courier New" w:cs="Courier New"/>
          <w:sz w:val="24"/>
          <w:szCs w:val="24"/>
        </w:rPr>
        <w:t>rtschaftlichkeit eines dem unmittelbaren Behinderungsausgleichs dienenden Hilfsmittels ist grundsätzlich zu unterstellen (BSG, Urteil vom 29. April 2010 - B 3 KR 5/09 R, SozR 4-2500 § 33 Nr 30 Rdnr 11 mwN; BSG, Urteil vom 6. Juni 2002 - B 3 KR 68/01 R, Soz</w:t>
      </w:r>
      <w:r>
        <w:rPr>
          <w:rFonts w:ascii="Courier New" w:hAnsi="Courier New" w:cs="Courier New"/>
          <w:sz w:val="24"/>
          <w:szCs w:val="24"/>
        </w:rPr>
        <w:t>R 3-2500 § 33 Nr 44 S. 248). Der Leistungsanspruch hinsichtlich eines fortschrittlicheren Hilfsmittels wird nicht dadurch ausgeschlossen, dass ein vollständiges Gleichziehen mit einem gesunden Versicherten auch damit nicht erreicht werden kann (BSG, Urteil</w:t>
      </w:r>
      <w:r>
        <w:rPr>
          <w:rFonts w:ascii="Courier New" w:hAnsi="Courier New" w:cs="Courier New"/>
          <w:sz w:val="24"/>
          <w:szCs w:val="24"/>
        </w:rPr>
        <w:t xml:space="preserve"> vom 16. September 2004 - B 3 KR 19/03 R - BSGE 93, 176 = SozR 4-2500 § 33 Nr. 7).</w:t>
      </w:r>
      <w:r>
        <w:rPr>
          <w:rFonts w:ascii="Courier New" w:hAnsi="Courier New" w:cs="Courier New"/>
          <w:sz w:val="24"/>
          <w:szCs w:val="24"/>
        </w:rPr>
        <w:br/>
      </w:r>
      <w:r>
        <w:rPr>
          <w:rFonts w:ascii="Courier New" w:hAnsi="Courier New" w:cs="Courier New"/>
          <w:sz w:val="24"/>
          <w:szCs w:val="24"/>
        </w:rPr>
        <w:br/>
        <w:t>Soweit das Hilfsmittel die ausgefallene oder beeinträchtigte Körperfunktion weder ganz noch weitestgehend ersetzen kann, handelt es sich um einen mittelbaren Behinderungsau</w:t>
      </w:r>
      <w:r>
        <w:rPr>
          <w:rFonts w:ascii="Courier New" w:hAnsi="Courier New" w:cs="Courier New"/>
          <w:sz w:val="24"/>
          <w:szCs w:val="24"/>
        </w:rPr>
        <w:t>sgleich. In diesem Falle kommt ein Leistungsanspruch nur in Betracht, soweit es um den angemessenen Ausgleich von direkten und indirekten Folgen der Behinderung geht (Beck/Pitz in: Schlegel/Voelzke, jurisPK-SGB V, 3. Aufl. 2016, § 33 SGB V, Rn. 27). Im Rah</w:t>
      </w:r>
      <w:r>
        <w:rPr>
          <w:rFonts w:ascii="Courier New" w:hAnsi="Courier New" w:cs="Courier New"/>
          <w:sz w:val="24"/>
          <w:szCs w:val="24"/>
        </w:rPr>
        <w:t>men des sog mittelbaren Behinderungsausgleichs geht es nicht um ein Ausgleich im Sinne des vollständigen Gleichziehens mit den letztlich unbegrenzten Möglichkeiten eines nichtbehinderten Menschen. Die Aufgabe der Gesetzlichen Krankenversicherung ist allein</w:t>
      </w:r>
      <w:r>
        <w:rPr>
          <w:rFonts w:ascii="Courier New" w:hAnsi="Courier New" w:cs="Courier New"/>
          <w:sz w:val="24"/>
          <w:szCs w:val="24"/>
        </w:rPr>
        <w:t xml:space="preserve"> die medizinische Rehabilitation, also die möglichst weitgehende Wiederherstellung der Gesundheit und Organfunktionen einschließlich der Sicherung des Behandlungserfolges, um ein selbstständiges Leben führen und die Anforderungen des Alltags meistern zu kö</w:t>
      </w:r>
      <w:r>
        <w:rPr>
          <w:rFonts w:ascii="Courier New" w:hAnsi="Courier New" w:cs="Courier New"/>
          <w:sz w:val="24"/>
          <w:szCs w:val="24"/>
        </w:rPr>
        <w:t>nnen. Ein Hilfsmittel zum mittelbaren Behinderungsausgleich ist daher von der Gesetzlichen Krankenversicherung nur zu gewähren, wenn es die Auswirkungen der Behinderung im gesamten täglichen Leben beseitigt oder mildert und damit ein allgemeines Grundbedür</w:t>
      </w:r>
      <w:r>
        <w:rPr>
          <w:rFonts w:ascii="Courier New" w:hAnsi="Courier New" w:cs="Courier New"/>
          <w:sz w:val="24"/>
          <w:szCs w:val="24"/>
        </w:rPr>
        <w:t>fnis des täglichen Lebens betrifft. Nach der ständigen Rechtsprechung des BSG gehören zu den allgemeinen Grundbedürfnissen des täglichen Lebens das Gehen, Stehen, Sitzen, Liegen, Greifen, Sehen, Hören, Nahrung aufnehmen, Ausscheiden, die elementare Körperp</w:t>
      </w:r>
      <w:r>
        <w:rPr>
          <w:rFonts w:ascii="Courier New" w:hAnsi="Courier New" w:cs="Courier New"/>
          <w:sz w:val="24"/>
          <w:szCs w:val="24"/>
        </w:rPr>
        <w:t xml:space="preserve">flege, das selbstständige Wohnen sowie die Erschließung eines gewissen körperlichen und geistigen Freiraums (vgl BSG, Urteil vom 10. März 2011 - B 3 KR 9/10 R, Rdnr 13; BSG, Urteil vom 18. Mai 2011 - B 3 KR 12/10 R, Rdnr 13). Das betroffene Grundbedürfnis </w:t>
      </w:r>
      <w:r>
        <w:rPr>
          <w:rFonts w:ascii="Courier New" w:hAnsi="Courier New" w:cs="Courier New"/>
          <w:sz w:val="24"/>
          <w:szCs w:val="24"/>
        </w:rPr>
        <w:t>auf Erschließung eines körperlichen Freiraums umfasst die Bewegungsmöglichkeit in der eigenen Wohnung und im umliegenden Nahbereich. Anknüpfungspunkt ist der Bewegungsradius, den ein Nichtbehinderter üblicherweise zu Fuß zurücklegt (BSG SozR 4-2500 § 33 Nr</w:t>
      </w:r>
      <w:r>
        <w:rPr>
          <w:rFonts w:ascii="Courier New" w:hAnsi="Courier New" w:cs="Courier New"/>
          <w:sz w:val="24"/>
          <w:szCs w:val="24"/>
        </w:rPr>
        <w:t xml:space="preserve"> 27, Nr 15). Für die Bestimmung des Nahbereichs gilt ein abstrakter, von den Besonderheiten des jeweiligen Wohnortes unabhängiger Maßstab. Die Erforderlichkeit der Hilfsmittelversorgung im Einzelfall ist eine subjektbezogene Anspruchsvoraussetzung, die nac</w:t>
      </w:r>
      <w:r>
        <w:rPr>
          <w:rFonts w:ascii="Courier New" w:hAnsi="Courier New" w:cs="Courier New"/>
          <w:sz w:val="24"/>
          <w:szCs w:val="24"/>
        </w:rPr>
        <w:t>h einem konkret individuellen Maßstab beurteilt wird. Der Nahbereich wird nicht im Sinne einer Mindestwegstrecke bzw einer Entfernungsobergrenze festgelegt, sondern lediglich beispielhaft im Sinne der Fähigkeit konkretisiert, sich in der eigenen Wohnung zu</w:t>
      </w:r>
      <w:r>
        <w:rPr>
          <w:rFonts w:ascii="Courier New" w:hAnsi="Courier New" w:cs="Courier New"/>
          <w:sz w:val="24"/>
          <w:szCs w:val="24"/>
        </w:rPr>
        <w:t xml:space="preserve"> bewegen und die Wohnung zu verlassen, um in einem kurzen Spaziergang an die frische Luft zu kommen oder um die üblicherweise im Nahbereich der Wohnung liegenden Stellen zu erreichen, an denen Alltagsgeschäfte zu erledigen sind, wobei allerdings die Fähigk</w:t>
      </w:r>
      <w:r>
        <w:rPr>
          <w:rFonts w:ascii="Courier New" w:hAnsi="Courier New" w:cs="Courier New"/>
          <w:sz w:val="24"/>
          <w:szCs w:val="24"/>
        </w:rPr>
        <w:t>eit, eine Wegstrecke von 100 Metern bzw 200 Metern nicht als ausreichend zur Erschließung des Nahbereichs angesehen worden ist. Sie umfasst jedoch nicht die Fähigkeit, weitere Wegstrecken zu bewältigen. Für die Bestimmung sind allein die Zwecke des § 33 Ab</w:t>
      </w:r>
      <w:r>
        <w:rPr>
          <w:rFonts w:ascii="Courier New" w:hAnsi="Courier New" w:cs="Courier New"/>
          <w:sz w:val="24"/>
          <w:szCs w:val="24"/>
        </w:rPr>
        <w:t>s 1 Satz 1 SGB V maßgebend.</w:t>
      </w:r>
      <w:r>
        <w:rPr>
          <w:rFonts w:ascii="Courier New" w:hAnsi="Courier New" w:cs="Courier New"/>
          <w:sz w:val="24"/>
          <w:szCs w:val="24"/>
        </w:rPr>
        <w:br/>
      </w:r>
      <w:r>
        <w:rPr>
          <w:rFonts w:ascii="Courier New" w:hAnsi="Courier New" w:cs="Courier New"/>
          <w:sz w:val="24"/>
          <w:szCs w:val="24"/>
        </w:rPr>
        <w:br/>
        <w:t>Der Blindenführhund ist nach der Rechtsprechung des BSG unmittelbar auf den Ausgleich der Behinderung selbst gerichtet (BSG, Urteil vom 25. Februar 1981 - 5a/5 RKn 35/78, BSGE 51, 206). Dem stehe nicht entgegen, dass das Hilfsm</w:t>
      </w:r>
      <w:r>
        <w:rPr>
          <w:rFonts w:ascii="Courier New" w:hAnsi="Courier New" w:cs="Courier New"/>
          <w:sz w:val="24"/>
          <w:szCs w:val="24"/>
        </w:rPr>
        <w:t>ittel nicht direkt am Körper ausgleichend wirkt (BSG, Urteil vom 27. Oktober 1982 - 9a RV 16/82, BSGE 54, 140). Entscheidend sei, dass das Hilfsmittel die beeinträchtigte Funktion – hier das Sehen – ermöglicht, ersetzt oder ergänzt. Der Blindenführhund bie</w:t>
      </w:r>
      <w:r>
        <w:rPr>
          <w:rFonts w:ascii="Courier New" w:hAnsi="Courier New" w:cs="Courier New"/>
          <w:sz w:val="24"/>
          <w:szCs w:val="24"/>
        </w:rPr>
        <w:t>te Ersatz für die durch Blindheit ausgefallene oder zumindest erschwerte Möglichkeit der Umweltkontrolle. Dieser Funktionsausgleich soll unmittelbar diese Behinderung betreffen und nicht erst bei den Folgen der Behinderung in bestimmten Lebensbereichen ein</w:t>
      </w:r>
      <w:r>
        <w:rPr>
          <w:rFonts w:ascii="Courier New" w:hAnsi="Courier New" w:cs="Courier New"/>
          <w:sz w:val="24"/>
          <w:szCs w:val="24"/>
        </w:rPr>
        <w:t>setzen (BSG, Urteil vom 25. Februar 1981 - 5a/5 RKn 35/78, BSGE 51, 206; auch LSG Baden-Württemberg, Beschluss vom 10. Mai 2012 – L 11 KR 804/11; LSG Rheinland-Pfalz, Urteil vom 2. Oktober 2013 - L 5 KR 99/13; SG Bremen, Urteil vom 24. Mai 2016 - S 4 KR 15</w:t>
      </w:r>
      <w:r>
        <w:rPr>
          <w:rFonts w:ascii="Courier New" w:hAnsi="Courier New" w:cs="Courier New"/>
          <w:sz w:val="24"/>
          <w:szCs w:val="24"/>
        </w:rPr>
        <w:t>3/15 –). Dem könnte entgegenzuhalten sein, dass Umweltkontrolle und Orientierungsfähigkeit keine unmittelbaren Körperfunktionen wie Sehen oder Hören sind, sondern vielmehr intellektuelle Kombinationsleistungen aus verschiedenen Sinneseindrücken. Dies könnt</w:t>
      </w:r>
      <w:r>
        <w:rPr>
          <w:rFonts w:ascii="Courier New" w:hAnsi="Courier New" w:cs="Courier New"/>
          <w:sz w:val="24"/>
          <w:szCs w:val="24"/>
        </w:rPr>
        <w:t>e für eine Qualifikation als mittelbarer Behinderungsausgleich sprechen. Im Ergebnis kann dies jedoch dahingestellt bleiben, da die Versorgung mit einem Blindenführhund im Falle der Klägerin auch zum mittelbaren Behinderungsausgleich geeignet, angemessen u</w:t>
      </w:r>
      <w:r>
        <w:rPr>
          <w:rFonts w:ascii="Courier New" w:hAnsi="Courier New" w:cs="Courier New"/>
          <w:sz w:val="24"/>
          <w:szCs w:val="24"/>
        </w:rPr>
        <w:t>nd erforderlich ist. Denn die Versorgung mit einem Langstock und erhaltenem Mobilitätstraining ist angesichts der bei der Klägerin vorliegenden Kombination aus Blindheit und Gehbehinderung nicht ausreichend, um die Mobilität und die Erschließung eines gewi</w:t>
      </w:r>
      <w:r>
        <w:rPr>
          <w:rFonts w:ascii="Courier New" w:hAnsi="Courier New" w:cs="Courier New"/>
          <w:sz w:val="24"/>
          <w:szCs w:val="24"/>
        </w:rPr>
        <w:t>ssen körperlichen und geistigen Freiraums zu gewährleisten. Auch neben einem Blindenlangstock kann der Blindenführhund im Einzelfall erforderlich sein, wenn er wesentliche Gebrauchsvorteile bietet (vgl. LSG Rheinland-Pfalz, Urteil vom 2. Oktober 2013 - L 5</w:t>
      </w:r>
      <w:r>
        <w:rPr>
          <w:rFonts w:ascii="Courier New" w:hAnsi="Courier New" w:cs="Courier New"/>
          <w:sz w:val="24"/>
          <w:szCs w:val="24"/>
        </w:rPr>
        <w:t xml:space="preserve"> KR 99/13; Urteil des erkennenden Senates vom 29. August 2017 - L16/4 KR 65/12). Eben so wenig schließt die Möglichkeit, die Hilfe Dritter in Anspruch zu nehmen, den Versorgungsanspruch nach § 33 SGB V aus, denn es ist wesentliches Ziel der Hilfsmittelvers</w:t>
      </w:r>
      <w:r>
        <w:rPr>
          <w:rFonts w:ascii="Courier New" w:hAnsi="Courier New" w:cs="Courier New"/>
          <w:sz w:val="24"/>
          <w:szCs w:val="24"/>
        </w:rPr>
        <w:t>orgung, dass behinderte Menschen nach Möglichkeit von der Hilfe anderer Menschen unabhängig oder zumindest deutlich weniger abhängig werden (BSG, Urteil vom 12. August 2009 - B 3 KR 8/08 R, SozR 4-2500 § 33 Nr 27 Rdnr 18) Bei der Prüfung der Erforderlichke</w:t>
      </w:r>
      <w:r>
        <w:rPr>
          <w:rFonts w:ascii="Courier New" w:hAnsi="Courier New" w:cs="Courier New"/>
          <w:sz w:val="24"/>
          <w:szCs w:val="24"/>
        </w:rPr>
        <w:t>it ist nicht auf die abstrakt generellen Gebrauchsvorteile eines Blindenführhundes im Vergleich mit einem Blindenlangstock abzustellen, sondern vielmehr auf die konkrete Versorgungsnotwendigkeit im Einzelfall, die nach medizinischen Gesichtspunkten zu beur</w:t>
      </w:r>
      <w:r>
        <w:rPr>
          <w:rFonts w:ascii="Courier New" w:hAnsi="Courier New" w:cs="Courier New"/>
          <w:sz w:val="24"/>
          <w:szCs w:val="24"/>
        </w:rPr>
        <w:t>teilen ist. Denn nach der Rechtsprechung des BSG besteht selbst im Bereich des unmittelbaren Behinderungsausgleiches kein Automatismus im Sinne einer höherwertigen Versorgung. Vielmehr kann die Versorgung mit einem fortschrittlicheren oder höherwertigen Hi</w:t>
      </w:r>
      <w:r>
        <w:rPr>
          <w:rFonts w:ascii="Courier New" w:hAnsi="Courier New" w:cs="Courier New"/>
          <w:sz w:val="24"/>
          <w:szCs w:val="24"/>
        </w:rPr>
        <w:t xml:space="preserve">lfsmittel nur derjenige beanspruchen, der nach ärztlicher Einschätzung im Alltagsleben dadurch deutliche Gebrauchsvorteile hat (BSG, Urteil vom 06. Juni 2002 – B 3 KR 68/01 R –, SozR 3-2500 § 33 Nr 44, SozR 3-2500 § 31 Nr 9, Rn. 14). Ansonsten fehlt es an </w:t>
      </w:r>
      <w:r>
        <w:rPr>
          <w:rFonts w:ascii="Courier New" w:hAnsi="Courier New" w:cs="Courier New"/>
          <w:sz w:val="24"/>
          <w:szCs w:val="24"/>
        </w:rPr>
        <w:t>der Erforderlichkeit dieses speziellen Hilfsmittels (BSG, Urteil vom 06. Juni 2002 – B 3 KR 68/01 R –, SozR 3-2500 § 33 Nr 44, SozR 3-2500 § 31 Nr 9, Rn. 14).</w:t>
      </w:r>
      <w:r>
        <w:rPr>
          <w:rFonts w:ascii="Courier New" w:hAnsi="Courier New" w:cs="Courier New"/>
          <w:sz w:val="24"/>
          <w:szCs w:val="24"/>
        </w:rPr>
        <w:br/>
      </w:r>
      <w:r>
        <w:rPr>
          <w:rFonts w:ascii="Courier New" w:hAnsi="Courier New" w:cs="Courier New"/>
          <w:sz w:val="24"/>
          <w:szCs w:val="24"/>
        </w:rPr>
        <w:br/>
        <w:t>Nach dieser Maßgabe hat die Klägerin hier einen Anspruch auf Versorgung mit einem Blindenhund du</w:t>
      </w:r>
      <w:r>
        <w:rPr>
          <w:rFonts w:ascii="Courier New" w:hAnsi="Courier New" w:cs="Courier New"/>
          <w:sz w:val="24"/>
          <w:szCs w:val="24"/>
        </w:rPr>
        <w:t>rch die Beklagte. Dies ergibt sich zunächst aus den Gutachten von Dr M. vom 5. Dezember 2013 und 18. September 2014, der sich auch mit den Einwendungen des MDK auseinandergesetzt hat, und dem Gutachten der Gespannprüferin für Blindenführhunde Dr N. vom 16.</w:t>
      </w:r>
      <w:r>
        <w:rPr>
          <w:rFonts w:ascii="Courier New" w:hAnsi="Courier New" w:cs="Courier New"/>
          <w:sz w:val="24"/>
          <w:szCs w:val="24"/>
        </w:rPr>
        <w:t xml:space="preserve"> März 2015, die die Klägerin ebenfalls in ihrer häuslichen Umgebung besucht und mit ihr einen Fußmarsch im Nahbereich unternommen hat. Insbesondere hat Dr N. bestätigt, dass es möglich sei, einen Blindenführhund am Rollator auszubilden und dass die Versorg</w:t>
      </w:r>
      <w:r>
        <w:rPr>
          <w:rFonts w:ascii="Courier New" w:hAnsi="Courier New" w:cs="Courier New"/>
          <w:sz w:val="24"/>
          <w:szCs w:val="24"/>
        </w:rPr>
        <w:t xml:space="preserve">ung mit einem Blindenführhund die Probleme der Klägerin bei der Erschließung eines körperlichen Freiraum erheblich reduzieren könnte. Der Senat bezieht sich insoweit auf die ausführliche Darstellung in den Gründen des Urteils des SG, der er sich in vollem </w:t>
      </w:r>
      <w:r>
        <w:rPr>
          <w:rFonts w:ascii="Courier New" w:hAnsi="Courier New" w:cs="Courier New"/>
          <w:sz w:val="24"/>
          <w:szCs w:val="24"/>
        </w:rPr>
        <w:t>Umfang anschließt, § 153 Abs 2 SGG.</w:t>
      </w:r>
      <w:r>
        <w:rPr>
          <w:rFonts w:ascii="Courier New" w:hAnsi="Courier New" w:cs="Courier New"/>
          <w:sz w:val="24"/>
          <w:szCs w:val="24"/>
        </w:rPr>
        <w:br/>
      </w:r>
      <w:r>
        <w:rPr>
          <w:rFonts w:ascii="Courier New" w:hAnsi="Courier New" w:cs="Courier New"/>
          <w:sz w:val="24"/>
          <w:szCs w:val="24"/>
        </w:rPr>
        <w:br/>
        <w:t>Aus dem Berufungsverfahren ergibt sich keine andere Beurteilung.</w:t>
      </w:r>
      <w:r>
        <w:rPr>
          <w:rFonts w:ascii="Courier New" w:hAnsi="Courier New" w:cs="Courier New"/>
          <w:sz w:val="24"/>
          <w:szCs w:val="24"/>
        </w:rPr>
        <w:br/>
      </w:r>
      <w:r>
        <w:rPr>
          <w:rFonts w:ascii="Courier New" w:hAnsi="Courier New" w:cs="Courier New"/>
          <w:sz w:val="24"/>
          <w:szCs w:val="24"/>
        </w:rPr>
        <w:br/>
        <w:t>Nach dem Bericht über die Schulung in Orientierung und Mobilität als Einweisung in den Gebrauch des Hilfsmittels Langstock des Sehwerkes über 20 Unterric</w:t>
      </w:r>
      <w:r>
        <w:rPr>
          <w:rFonts w:ascii="Courier New" w:hAnsi="Courier New" w:cs="Courier New"/>
          <w:sz w:val="24"/>
          <w:szCs w:val="24"/>
        </w:rPr>
        <w:t>htsstunden vom 5. März bis 10. Mai 2016 ergibt sich, dass die Klägerin mit einem Blindenlangstock nicht ausreichend versorgt ist, denn es war ihr nicht durchgängig möglich, nur mit dem Stützstock als Gehhilfe unterwegs zu sein. Insbesondere konnte bei Über</w:t>
      </w:r>
      <w:r>
        <w:rPr>
          <w:rFonts w:ascii="Courier New" w:hAnsi="Courier New" w:cs="Courier New"/>
          <w:sz w:val="24"/>
          <w:szCs w:val="24"/>
        </w:rPr>
        <w:t>querung von Straßen und dem nötigen Auf- und Abwärtsgehen von Bordsteinkanten eine sichere Umsetzung der Techniken nicht erreicht werden. Eine nahe Begleitung bleibe also erforderlich. Zudem gestaltete sich der Einsatz mit dem Rollator als Gehhilfe und ein</w:t>
      </w:r>
      <w:r>
        <w:rPr>
          <w:rFonts w:ascii="Courier New" w:hAnsi="Courier New" w:cs="Courier New"/>
          <w:sz w:val="24"/>
          <w:szCs w:val="24"/>
        </w:rPr>
        <w:t>em Blindenlangstock gleichzeitig als schwierig. Die Hand-/Fingerstellung und Kraftdosierung könne den schweren Langstock nicht gezielt einsetzen, da das Aufstützen auf die Gehhilfe noch durchgängig gebraucht wird.</w:t>
      </w:r>
      <w:r>
        <w:rPr>
          <w:rFonts w:ascii="Courier New" w:hAnsi="Courier New" w:cs="Courier New"/>
          <w:sz w:val="24"/>
          <w:szCs w:val="24"/>
        </w:rPr>
        <w:br/>
      </w:r>
      <w:r>
        <w:rPr>
          <w:rFonts w:ascii="Courier New" w:hAnsi="Courier New" w:cs="Courier New"/>
          <w:sz w:val="24"/>
          <w:szCs w:val="24"/>
        </w:rPr>
        <w:br/>
        <w:t>Aus diesem Bericht ergibt sich auch, dass</w:t>
      </w:r>
      <w:r>
        <w:rPr>
          <w:rFonts w:ascii="Courier New" w:hAnsi="Courier New" w:cs="Courier New"/>
          <w:sz w:val="24"/>
          <w:szCs w:val="24"/>
        </w:rPr>
        <w:t xml:space="preserve"> die Klägerin ihre Mobilität erheblich steigern konnte und genügend körperliche Ausdauer aufbringend konnte, um sogar weitere Wege zurückzulegen. Sie ist in der Lage ein rasches und lang anhaltendes Tempo am Rollator beizubehalten. Dies ist ihr dann möglic</w:t>
      </w:r>
      <w:r>
        <w:rPr>
          <w:rFonts w:ascii="Courier New" w:hAnsi="Courier New" w:cs="Courier New"/>
          <w:sz w:val="24"/>
          <w:szCs w:val="24"/>
        </w:rPr>
        <w:t>h, sobald die Gehrichtung und Steuerung beispielsweise durch eine Begleitperson übernommen wird.</w:t>
      </w:r>
      <w:r>
        <w:rPr>
          <w:rFonts w:ascii="Courier New" w:hAnsi="Courier New" w:cs="Courier New"/>
          <w:sz w:val="24"/>
          <w:szCs w:val="24"/>
        </w:rPr>
        <w:br/>
      </w:r>
      <w:r>
        <w:rPr>
          <w:rFonts w:ascii="Courier New" w:hAnsi="Courier New" w:cs="Courier New"/>
          <w:sz w:val="24"/>
          <w:szCs w:val="24"/>
        </w:rPr>
        <w:br/>
        <w:t>Das Gutachten von Dr O. vom 4. August 2017 bestätigt die Einschätzungen von Dr M. und Dr N ... Dr O. hat bei der Klägerin folgende Gesundheitsstörungen festge</w:t>
      </w:r>
      <w:r>
        <w:rPr>
          <w:rFonts w:ascii="Courier New" w:hAnsi="Courier New" w:cs="Courier New"/>
          <w:sz w:val="24"/>
          <w:szCs w:val="24"/>
        </w:rPr>
        <w:t>stellt: Eine ausgeprägte Rotations-Seitverbiegung der Wirbelsäule mit daraus resultierender Bewegungseinschränkung der Brust- und Lendenwirbelsäule sowie einem ebenfalls daraus resultierenden Schultertief- und Beckenhochstand rechts, Klinisch ein Engesyndr</w:t>
      </w:r>
      <w:r>
        <w:rPr>
          <w:rFonts w:ascii="Courier New" w:hAnsi="Courier New" w:cs="Courier New"/>
          <w:sz w:val="24"/>
          <w:szCs w:val="24"/>
        </w:rPr>
        <w:t>om (Impingementsyndrom) beider Schultergelenke mit daraus resultierender Bewegungseinschränkung, rechts mehr als links, Bewegungseinschränkung des rechten Ellenbogengelenkes, Zustand nach Implantation einer Kniegelenksprothese rechts mit einer im Seitenver</w:t>
      </w:r>
      <w:r>
        <w:rPr>
          <w:rFonts w:ascii="Courier New" w:hAnsi="Courier New" w:cs="Courier New"/>
          <w:sz w:val="24"/>
          <w:szCs w:val="24"/>
        </w:rPr>
        <w:t>gleich herabgesetzten Beweglichkeit, einen deutlichen Ballenfuß sowie eine ebenfalls deutliche Krallenzehenbildung der Zehen 2 bis 5 beidseits, rechts führend. Nach dem Gutachten von Dr O., der den aktuellen Gesundheitszustand der Klägerin begutachtet hat,</w:t>
      </w:r>
      <w:r>
        <w:rPr>
          <w:rFonts w:ascii="Courier New" w:hAnsi="Courier New" w:cs="Courier New"/>
          <w:sz w:val="24"/>
          <w:szCs w:val="24"/>
        </w:rPr>
        <w:t xml:space="preserve"> ist die Klägerin in der Lage, trotz der genannten Gesundheitsstörungen einen Blindenführhund zu halten. Sie besitzt eine gute Grundmobilität, Kondition und Orientierungsfähigkeit. Auch nach dem mit Dr O. unternommenen Spaziergang war eine muskuläre oder s</w:t>
      </w:r>
      <w:r>
        <w:rPr>
          <w:rFonts w:ascii="Courier New" w:hAnsi="Courier New" w:cs="Courier New"/>
          <w:sz w:val="24"/>
          <w:szCs w:val="24"/>
        </w:rPr>
        <w:t xml:space="preserve">onstige Schwäche nicht zu beobachten. Die Klägerin hatte während des Gehens ebenfalls genügend Atem für eine Unterhaltung, so dass davon auszugehen sei, dass sie am Rollator ebenfalls eine darüber hinausgehende Gehstrecke bewältigen könne. Dr O. hat zudem </w:t>
      </w:r>
      <w:r>
        <w:rPr>
          <w:rFonts w:ascii="Courier New" w:hAnsi="Courier New" w:cs="Courier New"/>
          <w:sz w:val="24"/>
          <w:szCs w:val="24"/>
        </w:rPr>
        <w:t xml:space="preserve">ausgeführt, dass bei der Klägerin eine gute Orientierung in der gewohnten Umgebung besteht, sie sich die Versorgung eines Hundes zutraut und auch in der Vergangenheit einen Hund betreut hat, den sie abgeben musste, da dieser nicht darauf trainiert gewesen </w:t>
      </w:r>
      <w:r>
        <w:rPr>
          <w:rFonts w:ascii="Courier New" w:hAnsi="Courier New" w:cs="Courier New"/>
          <w:sz w:val="24"/>
          <w:szCs w:val="24"/>
        </w:rPr>
        <w:t>sei, Hindernisse und Gefahren zu erkennen. Dr O. hat festgestellt, dass sie zB in der Lage sei, den Kühlschrank aufzusuchen, etwas zu entnehmen, dieses in einen Futternapf geben könnte, sofern sich die Dinge an den gewohnten Plätzen befinden würden. Sie se</w:t>
      </w:r>
      <w:r>
        <w:rPr>
          <w:rFonts w:ascii="Courier New" w:hAnsi="Courier New" w:cs="Courier New"/>
          <w:sz w:val="24"/>
          <w:szCs w:val="24"/>
        </w:rPr>
        <w:t>i in der Lage, eine Wegstrecke problemlos zu bewältigen. Darüber hinaus hat sich Dr O. überzeugt, dass die Distanz zum Ufer des Elbe-Seiten-Kanals etwa 400 Meter beträgt und einem Hund Freilauf sowie Kontakt zu anderen Hunden bieten könnte. Die geistige un</w:t>
      </w:r>
      <w:r>
        <w:rPr>
          <w:rFonts w:ascii="Courier New" w:hAnsi="Courier New" w:cs="Courier New"/>
          <w:sz w:val="24"/>
          <w:szCs w:val="24"/>
        </w:rPr>
        <w:t>d körperliche Verfassung der Klägerin sprechen dafür, dass sie den Anforderungen an einen Hundeführer gerecht werden kann. Sie ist in der Lage, einem Hund Abwechslung zu bieten, ihn zu pflegen, zu füttern und auch mit ihm Gassi zu gehen. Der Senat schließt</w:t>
      </w:r>
      <w:r>
        <w:rPr>
          <w:rFonts w:ascii="Courier New" w:hAnsi="Courier New" w:cs="Courier New"/>
          <w:sz w:val="24"/>
          <w:szCs w:val="24"/>
        </w:rPr>
        <w:t xml:space="preserve"> sich der Einschätzung des Sachverständigen, aufgrund seiner freien, aus dem Gesamtergebnis des Verfahrens getroffenen Überzeugung an (§ 128 SGG). Dr O. hat die vorliegenden Akten und Gutachten gründlich ausgewertet, das Krankheitsbild umfassend gewürdigt </w:t>
      </w:r>
      <w:r>
        <w:rPr>
          <w:rFonts w:ascii="Courier New" w:hAnsi="Courier New" w:cs="Courier New"/>
          <w:sz w:val="24"/>
          <w:szCs w:val="24"/>
        </w:rPr>
        <w:t xml:space="preserve">und er hat die die Klägerin nicht nur fachgerecht untersucht, sondern sie am 28. Juli 2017 in ihrer Wohnung aufgesucht und mit ihr einen Spaziergang von ca 2 km mit leichten Steigungen und Gefälle zurückgelegt. Das Gutachten ist insgesamt einleuchtend und </w:t>
      </w:r>
      <w:r>
        <w:rPr>
          <w:rFonts w:ascii="Courier New" w:hAnsi="Courier New" w:cs="Courier New"/>
          <w:sz w:val="24"/>
          <w:szCs w:val="24"/>
        </w:rPr>
        <w:t>in sich widerspruchsfrei.</w:t>
      </w:r>
      <w:r>
        <w:rPr>
          <w:rFonts w:ascii="Courier New" w:hAnsi="Courier New" w:cs="Courier New"/>
          <w:sz w:val="24"/>
          <w:szCs w:val="24"/>
        </w:rPr>
        <w:br/>
      </w:r>
      <w:r>
        <w:rPr>
          <w:rFonts w:ascii="Courier New" w:hAnsi="Courier New" w:cs="Courier New"/>
          <w:sz w:val="24"/>
          <w:szCs w:val="24"/>
        </w:rPr>
        <w:br/>
        <w:t>In der mündlichen Verhandlung, in der sich der Senat einen Eindruck von der Klägerin verschafft hat und in der die Klägerin gebeten wurde, mit dem Rollator den Gerichtsflur entlang zu gehen, hat die Klägerin bestätigt, dass sie j</w:t>
      </w:r>
      <w:r>
        <w:rPr>
          <w:rFonts w:ascii="Courier New" w:hAnsi="Courier New" w:cs="Courier New"/>
          <w:sz w:val="24"/>
          <w:szCs w:val="24"/>
        </w:rPr>
        <w:t>ahrelang einen Hund gehalten hat und mit der Versorgung von Hunden vertraut ist.</w:t>
      </w:r>
      <w:r>
        <w:rPr>
          <w:rFonts w:ascii="Courier New" w:hAnsi="Courier New" w:cs="Courier New"/>
          <w:sz w:val="24"/>
          <w:szCs w:val="24"/>
        </w:rPr>
        <w:br/>
      </w:r>
      <w:r>
        <w:rPr>
          <w:rFonts w:ascii="Courier New" w:hAnsi="Courier New" w:cs="Courier New"/>
          <w:sz w:val="24"/>
          <w:szCs w:val="24"/>
        </w:rPr>
        <w:br/>
        <w:t>In Anbetracht der Ausführungen von Dr O. und des Eindrucks in der mündlichen Verhandlung war die von der Beklagten im Schriftsatz vom 1. November 2017 angeregte nochmalige Be</w:t>
      </w:r>
      <w:r>
        <w:rPr>
          <w:rFonts w:ascii="Courier New" w:hAnsi="Courier New" w:cs="Courier New"/>
          <w:sz w:val="24"/>
          <w:szCs w:val="24"/>
        </w:rPr>
        <w:t>fragung von Dr N. nicht erforderlich. Zum Zeitpunkt der Begutachtung durch Dr N. war die Klägerin bereits in die Pflegestufe II eingestuft und auch bei der Begutachtung durch Dr N. benutzte die Klägerin bereits einen Rollator. Sie konnte eine Wegstrecke be</w:t>
      </w:r>
      <w:r>
        <w:rPr>
          <w:rFonts w:ascii="Courier New" w:hAnsi="Courier New" w:cs="Courier New"/>
          <w:sz w:val="24"/>
          <w:szCs w:val="24"/>
        </w:rPr>
        <w:t>wältigen und hatte keine Ermüdungserscheinungen. Eben dies hat Dr O. in seinem Gutachten bestätigt.</w:t>
      </w:r>
      <w:r>
        <w:rPr>
          <w:rFonts w:ascii="Courier New" w:hAnsi="Courier New" w:cs="Courier New"/>
          <w:sz w:val="24"/>
          <w:szCs w:val="24"/>
        </w:rPr>
        <w:br/>
      </w:r>
      <w:r>
        <w:rPr>
          <w:rFonts w:ascii="Courier New" w:hAnsi="Courier New" w:cs="Courier New"/>
          <w:sz w:val="24"/>
          <w:szCs w:val="24"/>
        </w:rPr>
        <w:br/>
        <w:t>In Hinblick auf das positive Beweisergebnis durch insgesamt vier Gerichtsgutachten gibt das Verhalten der Beklagten, die im Vorfeld der mündlichen Verhandl</w:t>
      </w:r>
      <w:r>
        <w:rPr>
          <w:rFonts w:ascii="Courier New" w:hAnsi="Courier New" w:cs="Courier New"/>
          <w:sz w:val="24"/>
          <w:szCs w:val="24"/>
        </w:rPr>
        <w:t>ung in Kenntnis des aktuellen positiven Gutachtens von Dr O. einen möglichen Leistungserbringer telefonisch kontaktiert hat, der sich wiederum mit der Gerichtssachverständigen Dr N. in Verbindung gesetzt hat, um eine tatsächliche Realisierung des Anspruchs</w:t>
      </w:r>
      <w:r>
        <w:rPr>
          <w:rFonts w:ascii="Courier New" w:hAnsi="Courier New" w:cs="Courier New"/>
          <w:sz w:val="24"/>
          <w:szCs w:val="24"/>
        </w:rPr>
        <w:t xml:space="preserve"> der Klägerin zu behindern, Anlass, die Beklagte an ihre Bindung an Recht und Gesetz (Art 20 Abs 3 Grundgesetz) zu erinnern. Darüber hinaus sollen die Krankenkassen nach § 70 SGB V auf eine humane Krankenbehandlung ihrer Versicherten hinwirken. Nach der Be</w:t>
      </w:r>
      <w:r>
        <w:rPr>
          <w:rFonts w:ascii="Courier New" w:hAnsi="Courier New" w:cs="Courier New"/>
          <w:sz w:val="24"/>
          <w:szCs w:val="24"/>
        </w:rPr>
        <w:t>gründung des Gesetzentwurfs zum Gesundheitsreformgesetz (GRG) trägt § 70 Abs 2 SGB V der besonderen Bedeutung einer humanen Krankenbehandlung als tragendem Prinzip der gesetzlichen Krankenversicherung Rechnung (Engelmann in: Schlegel/Voelzke, jurisPK-SGB V</w:t>
      </w:r>
      <w:r>
        <w:rPr>
          <w:rFonts w:ascii="Courier New" w:hAnsi="Courier New" w:cs="Courier New"/>
          <w:sz w:val="24"/>
          <w:szCs w:val="24"/>
        </w:rPr>
        <w:t>, 3. Aufl. 2016, § 70 SGB V, Rn. 36). Die Norm ist deshalb als Auslegungsrichtlinie zu berücksichtigen (BSG, Urteil vom 10. Mai 2005 - B 1 KR 25/03 R - BSGE 94, 302, 309 Rdnr 21 = SozR 4-2500 § 34 Nr. 2 Rn. 21).</w:t>
      </w:r>
      <w:r>
        <w:rPr>
          <w:rFonts w:ascii="Courier New" w:hAnsi="Courier New" w:cs="Courier New"/>
          <w:sz w:val="24"/>
          <w:szCs w:val="24"/>
        </w:rPr>
        <w:br/>
      </w:r>
      <w:r>
        <w:rPr>
          <w:rFonts w:ascii="Courier New" w:hAnsi="Courier New" w:cs="Courier New"/>
          <w:sz w:val="24"/>
          <w:szCs w:val="24"/>
        </w:rPr>
        <w:br/>
        <w:t>Die Kostenentscheidung beruht auf § 193 SGG</w:t>
      </w:r>
      <w:r>
        <w:rPr>
          <w:rFonts w:ascii="Courier New" w:hAnsi="Courier New" w:cs="Courier New"/>
          <w:sz w:val="24"/>
          <w:szCs w:val="24"/>
        </w:rPr>
        <w:t>.</w:t>
      </w:r>
      <w:r>
        <w:rPr>
          <w:rFonts w:ascii="Courier New" w:hAnsi="Courier New" w:cs="Courier New"/>
          <w:sz w:val="24"/>
          <w:szCs w:val="24"/>
        </w:rPr>
        <w:br/>
      </w:r>
      <w:r>
        <w:rPr>
          <w:rFonts w:ascii="Courier New" w:hAnsi="Courier New" w:cs="Courier New"/>
          <w:sz w:val="24"/>
          <w:szCs w:val="24"/>
        </w:rPr>
        <w:br/>
        <w:t>Es hat kein gesetzlicher Grund vorgelegen, die Revision zuzulassen (§ 160 Abs 2 SGG).</w:t>
      </w:r>
    </w:p>
    <w:sectPr w:rsidR="00B3308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84"/>
    <w:rsid w:val="00442284"/>
    <w:rsid w:val="00B33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6C35C9-4BD5-4BF1-ACAE-33D17F33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4571</Words>
  <Characters>28798</Characters>
  <Application>Microsoft Office Word</Application>
  <DocSecurity>0</DocSecurity>
  <Lines>239</Lines>
  <Paragraphs>66</Paragraphs>
  <ScaleCrop>false</ScaleCrop>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dani-gabor@gmx.de</dc:creator>
  <cp:keywords/>
  <dc:description/>
  <cp:lastModifiedBy>dani-gabor@gmx.de</cp:lastModifiedBy>
  <cp:revision>2</cp:revision>
  <dcterms:created xsi:type="dcterms:W3CDTF">2017-12-16T14:37:00Z</dcterms:created>
  <dcterms:modified xsi:type="dcterms:W3CDTF">2017-12-16T14:37:00Z</dcterms:modified>
</cp:coreProperties>
</file>